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E606" w14:textId="5575414D" w:rsidR="00A220EC" w:rsidRPr="00150271" w:rsidRDefault="00A220EC" w:rsidP="00A220EC">
      <w:pPr>
        <w:pStyle w:val="Heading1"/>
        <w:rPr>
          <w:rFonts w:ascii="Cambria" w:hAnsi="Cambria"/>
          <w:u w:val="single"/>
        </w:rPr>
      </w:pPr>
      <w:r w:rsidRPr="00BA6A46">
        <w:t xml:space="preserve">Lecture </w:t>
      </w:r>
      <w:r w:rsidR="00963491">
        <w:t>7: Regional a</w:t>
      </w:r>
      <w:r w:rsidRPr="00BA6A46">
        <w:t xml:space="preserve">vailability and </w:t>
      </w:r>
      <w:r w:rsidR="00D02F15">
        <w:t>p</w:t>
      </w:r>
      <w:r w:rsidRPr="00BA6A46">
        <w:t xml:space="preserve">rospective </w:t>
      </w:r>
      <w:r w:rsidR="00D02F15">
        <w:t>s</w:t>
      </w:r>
      <w:r w:rsidRPr="00BA6A46">
        <w:t xml:space="preserve">ource </w:t>
      </w:r>
      <w:r w:rsidR="00D02F15">
        <w:t>m</w:t>
      </w:r>
      <w:r w:rsidRPr="00BA6A46">
        <w:t>arkets</w:t>
      </w:r>
    </w:p>
    <w:p w14:paraId="23103A77" w14:textId="77777777" w:rsidR="006D35A8" w:rsidRDefault="006D35A8" w:rsidP="00A220EC"/>
    <w:p w14:paraId="409FB7A1" w14:textId="0E570ADB" w:rsidR="00A220EC" w:rsidRDefault="00864262" w:rsidP="00A220EC">
      <w:r>
        <w:rPr>
          <w:noProof/>
        </w:rPr>
        <mc:AlternateContent>
          <mc:Choice Requires="wps">
            <w:drawing>
              <wp:anchor distT="0" distB="0" distL="114300" distR="114300" simplePos="0" relativeHeight="251658240" behindDoc="0" locked="0" layoutInCell="1" allowOverlap="1" wp14:anchorId="1ED9AE08" wp14:editId="50E063F4">
                <wp:simplePos x="0" y="0"/>
                <wp:positionH relativeFrom="column">
                  <wp:posOffset>-62865</wp:posOffset>
                </wp:positionH>
                <wp:positionV relativeFrom="paragraph">
                  <wp:posOffset>190500</wp:posOffset>
                </wp:positionV>
                <wp:extent cx="5557520" cy="4681220"/>
                <wp:effectExtent l="0" t="0" r="30480" b="17780"/>
                <wp:wrapTight wrapText="bothSides">
                  <wp:wrapPolygon edited="0">
                    <wp:start x="0" y="0"/>
                    <wp:lineTo x="0" y="21565"/>
                    <wp:lineTo x="21620" y="21565"/>
                    <wp:lineTo x="2162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4681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B758BA" w14:textId="53E4CBCD" w:rsidR="00E12842" w:rsidRPr="00150271" w:rsidRDefault="00963491" w:rsidP="006D35A8">
                            <w:pPr>
                              <w:rPr>
                                <w:rFonts w:ascii="Cambria" w:hAnsi="Cambria"/>
                                <w:u w:val="single"/>
                              </w:rPr>
                            </w:pPr>
                            <w:r>
                              <w:rPr>
                                <w:rFonts w:ascii="Cambria" w:hAnsi="Cambria"/>
                                <w:u w:val="single"/>
                              </w:rPr>
                              <w:t>Regional availability and prospective source markets</w:t>
                            </w:r>
                          </w:p>
                          <w:p w14:paraId="04D3B4C9" w14:textId="77777777" w:rsidR="00E12842" w:rsidRPr="00150271" w:rsidRDefault="00E12842" w:rsidP="006D35A8">
                            <w:pPr>
                              <w:pStyle w:val="ListParagraph"/>
                              <w:numPr>
                                <w:ilvl w:val="0"/>
                                <w:numId w:val="8"/>
                              </w:numPr>
                              <w:rPr>
                                <w:rFonts w:ascii="Cambria" w:hAnsi="Cambria"/>
                              </w:rPr>
                            </w:pPr>
                            <w:r w:rsidRPr="00150271">
                              <w:rPr>
                                <w:rFonts w:ascii="Cambria" w:hAnsi="Cambria"/>
                              </w:rPr>
                              <w:t xml:space="preserve">Food </w:t>
                            </w:r>
                            <w:r>
                              <w:rPr>
                                <w:rFonts w:ascii="Cambria" w:hAnsi="Cambria"/>
                              </w:rPr>
                              <w:t>b</w:t>
                            </w:r>
                            <w:r w:rsidRPr="00150271">
                              <w:rPr>
                                <w:rFonts w:ascii="Cambria" w:hAnsi="Cambria"/>
                              </w:rPr>
                              <w:t xml:space="preserve">alance </w:t>
                            </w:r>
                            <w:r>
                              <w:rPr>
                                <w:rFonts w:ascii="Cambria" w:hAnsi="Cambria"/>
                              </w:rPr>
                              <w:t>s</w:t>
                            </w:r>
                            <w:r w:rsidRPr="00150271">
                              <w:rPr>
                                <w:rFonts w:ascii="Cambria" w:hAnsi="Cambria"/>
                              </w:rPr>
                              <w:t xml:space="preserve">heets </w:t>
                            </w:r>
                          </w:p>
                          <w:p w14:paraId="48CB34FF" w14:textId="77777777" w:rsidR="00E12842" w:rsidRPr="00150271" w:rsidRDefault="00E12842" w:rsidP="006D35A8">
                            <w:pPr>
                              <w:pStyle w:val="ListParagraph"/>
                              <w:numPr>
                                <w:ilvl w:val="0"/>
                                <w:numId w:val="8"/>
                              </w:numPr>
                              <w:rPr>
                                <w:rFonts w:ascii="Cambria" w:hAnsi="Cambria"/>
                              </w:rPr>
                            </w:pPr>
                            <w:r w:rsidRPr="00150271">
                              <w:rPr>
                                <w:rFonts w:ascii="Cambria" w:hAnsi="Cambria"/>
                              </w:rPr>
                              <w:t xml:space="preserve">Informal </w:t>
                            </w:r>
                            <w:r>
                              <w:rPr>
                                <w:rFonts w:ascii="Cambria" w:hAnsi="Cambria"/>
                              </w:rPr>
                              <w:t>c</w:t>
                            </w:r>
                            <w:r w:rsidRPr="00150271">
                              <w:rPr>
                                <w:rFonts w:ascii="Cambria" w:hAnsi="Cambria"/>
                              </w:rPr>
                              <w:t xml:space="preserve">ross </w:t>
                            </w:r>
                            <w:r>
                              <w:rPr>
                                <w:rFonts w:ascii="Cambria" w:hAnsi="Cambria"/>
                              </w:rPr>
                              <w:t>b</w:t>
                            </w:r>
                            <w:r w:rsidRPr="00150271">
                              <w:rPr>
                                <w:rFonts w:ascii="Cambria" w:hAnsi="Cambria"/>
                              </w:rPr>
                              <w:t xml:space="preserve">order </w:t>
                            </w:r>
                            <w:r>
                              <w:rPr>
                                <w:rFonts w:ascii="Cambria" w:hAnsi="Cambria"/>
                              </w:rPr>
                              <w:t>t</w:t>
                            </w:r>
                            <w:r w:rsidRPr="00150271">
                              <w:rPr>
                                <w:rFonts w:ascii="Cambria" w:hAnsi="Cambria"/>
                              </w:rPr>
                              <w:t>rade</w:t>
                            </w:r>
                          </w:p>
                          <w:p w14:paraId="36BCFA65" w14:textId="77777777" w:rsidR="00E12842" w:rsidRPr="00150271" w:rsidRDefault="00E12842" w:rsidP="006D35A8">
                            <w:pPr>
                              <w:rPr>
                                <w:rFonts w:ascii="Cambria" w:hAnsi="Cambria"/>
                              </w:rPr>
                            </w:pPr>
                          </w:p>
                          <w:p w14:paraId="0ADED3C7" w14:textId="77777777" w:rsidR="00E12842" w:rsidRPr="00150271" w:rsidRDefault="00E12842" w:rsidP="006D35A8">
                            <w:pPr>
                              <w:rPr>
                                <w:rFonts w:ascii="Cambria" w:hAnsi="Cambria"/>
                                <w:i/>
                              </w:rPr>
                            </w:pPr>
                            <w:r w:rsidRPr="00150271">
                              <w:rPr>
                                <w:rFonts w:ascii="Cambria" w:hAnsi="Cambria"/>
                                <w:i/>
                              </w:rPr>
                              <w:t>Readings</w:t>
                            </w:r>
                          </w:p>
                          <w:p w14:paraId="4B677B08" w14:textId="77777777" w:rsidR="00864262" w:rsidRPr="00F3071E" w:rsidRDefault="00864262" w:rsidP="00864262">
                            <w:pPr>
                              <w:pStyle w:val="ListParagraph"/>
                              <w:numPr>
                                <w:ilvl w:val="0"/>
                                <w:numId w:val="8"/>
                              </w:numPr>
                              <w:rPr>
                                <w:rFonts w:ascii="Cambria" w:hAnsi="Cambria"/>
                              </w:rPr>
                            </w:pPr>
                            <w:r w:rsidRPr="00F3071E">
                              <w:rPr>
                                <w:rFonts w:ascii="Cambria" w:hAnsi="Cambria"/>
                              </w:rPr>
                              <w:t xml:space="preserve">Food and agriculture organization (FAO). 2002. “Training in the Preparation of Food Balance Sheets: Food Balance Sheets: Applications and uses.” June-July. No. 6. FAO, Rome. </w:t>
                            </w:r>
                            <w:r>
                              <w:rPr>
                                <w:rFonts w:ascii="Cambria" w:hAnsi="Cambria"/>
                                <w:i/>
                              </w:rPr>
                              <w:t xml:space="preserve"> </w:t>
                            </w:r>
                            <w:hyperlink r:id="rId8" w:history="1">
                              <w:r>
                                <w:rPr>
                                  <w:rStyle w:val="Hyperlink"/>
                                </w:rPr>
                                <w:t>http://www.foodsec.org/DL/course/shortcourseFA/en/pdf/5_FBS_concepts.pdf</w:t>
                              </w:r>
                            </w:hyperlink>
                          </w:p>
                          <w:p w14:paraId="5BE7B141" w14:textId="77777777" w:rsidR="00864262" w:rsidRPr="00F3071E" w:rsidRDefault="00864262" w:rsidP="00864262">
                            <w:pPr>
                              <w:pStyle w:val="ListParagraph"/>
                              <w:numPr>
                                <w:ilvl w:val="0"/>
                                <w:numId w:val="8"/>
                              </w:numPr>
                              <w:rPr>
                                <w:rFonts w:ascii="Cambria" w:hAnsi="Cambria"/>
                              </w:rPr>
                            </w:pPr>
                            <w:r w:rsidRPr="00F3071E">
                              <w:rPr>
                                <w:rStyle w:val="HTMLCite"/>
                                <w:rFonts w:ascii="Cambria" w:hAnsi="Cambria"/>
                                <w:i w:val="0"/>
                              </w:rPr>
                              <w:t xml:space="preserve">Famine Early Warning System (2006) “Informal Cross Border Food Trade in Southern Africa” November.  - </w:t>
                            </w:r>
                            <w:r w:rsidRPr="00F3071E">
                              <w:rPr>
                                <w:rFonts w:ascii="Cambria" w:hAnsi="Cambria"/>
                                <w:i/>
                              </w:rPr>
                              <w:t>In Public Folder</w:t>
                            </w:r>
                            <w:r w:rsidRPr="00F3071E">
                              <w:rPr>
                                <w:rFonts w:ascii="Cambria" w:hAnsi="Cambria"/>
                              </w:rPr>
                              <w:t xml:space="preserve"> </w:t>
                            </w:r>
                            <w:hyperlink r:id="rId9" w:history="1">
                              <w:r w:rsidRPr="00F3071E">
                                <w:rPr>
                                  <w:rStyle w:val="Hyperlink"/>
                                  <w:rFonts w:ascii="Cambria" w:hAnsi="Cambria"/>
                                </w:rPr>
                                <w:t>www.fews.net/docs/Publications/1001210.pdf</w:t>
                              </w:r>
                            </w:hyperlink>
                          </w:p>
                          <w:p w14:paraId="6287F22A" w14:textId="77777777" w:rsidR="00864262" w:rsidRPr="00F3071E" w:rsidRDefault="00864262" w:rsidP="00864262">
                            <w:pPr>
                              <w:rPr>
                                <w:rFonts w:ascii="Cambria" w:hAnsi="Cambria"/>
                                <w:i/>
                              </w:rPr>
                            </w:pPr>
                          </w:p>
                          <w:p w14:paraId="14621026" w14:textId="77777777" w:rsidR="00864262" w:rsidRPr="00F3071E" w:rsidRDefault="00864262" w:rsidP="00864262">
                            <w:pPr>
                              <w:rPr>
                                <w:rFonts w:ascii="Cambria" w:hAnsi="Cambria"/>
                                <w:i/>
                              </w:rPr>
                            </w:pPr>
                            <w:r w:rsidRPr="00F3071E">
                              <w:rPr>
                                <w:rFonts w:ascii="Cambria" w:hAnsi="Cambria"/>
                                <w:i/>
                              </w:rPr>
                              <w:t>Supplementary Readings</w:t>
                            </w:r>
                          </w:p>
                          <w:p w14:paraId="111241F2" w14:textId="77777777" w:rsidR="00864262" w:rsidRPr="00F3071E" w:rsidRDefault="00864262" w:rsidP="00864262">
                            <w:pPr>
                              <w:pStyle w:val="ListParagraph"/>
                              <w:numPr>
                                <w:ilvl w:val="0"/>
                                <w:numId w:val="2"/>
                              </w:numPr>
                              <w:ind w:left="720"/>
                              <w:rPr>
                                <w:rFonts w:ascii="Cambria" w:hAnsi="Cambria"/>
                              </w:rPr>
                            </w:pPr>
                            <w:proofErr w:type="spellStart"/>
                            <w:r w:rsidRPr="00F3071E">
                              <w:rPr>
                                <w:rFonts w:ascii="Cambria" w:hAnsi="Cambria"/>
                              </w:rPr>
                              <w:t>Tschirley</w:t>
                            </w:r>
                            <w:proofErr w:type="spellEnd"/>
                            <w:r w:rsidRPr="00F3071E">
                              <w:rPr>
                                <w:rFonts w:ascii="Cambria" w:hAnsi="Cambria"/>
                              </w:rPr>
                              <w:t xml:space="preserve">, D. and A.M. del Castillo (2006) “Local and Regional Food Aid Procurement: An assessment of experience in African and elements of good donor practice.” Policy synthesis for cooperating USAID offices and countries missions No. 79. Washington: USAID. </w:t>
                            </w:r>
                            <w:r>
                              <w:rPr>
                                <w:rFonts w:ascii="Cambria" w:hAnsi="Cambria"/>
                                <w:i/>
                              </w:rPr>
                              <w:t xml:space="preserve"> </w:t>
                            </w:r>
                            <w:hyperlink r:id="rId10" w:history="1">
                              <w:r>
                                <w:rPr>
                                  <w:rStyle w:val="Hyperlink"/>
                                </w:rPr>
                                <w:t>http://ageconsearch.umn.edu/bitstream/54486/2/wp_27.pdf</w:t>
                              </w:r>
                            </w:hyperlink>
                          </w:p>
                          <w:p w14:paraId="0478A6FA" w14:textId="77777777" w:rsidR="00864262" w:rsidRPr="003B0403" w:rsidRDefault="00864262" w:rsidP="00864262">
                            <w:pPr>
                              <w:pStyle w:val="ListParagraph"/>
                              <w:numPr>
                                <w:ilvl w:val="0"/>
                                <w:numId w:val="8"/>
                              </w:numPr>
                              <w:rPr>
                                <w:rStyle w:val="Hyperlink"/>
                                <w:rFonts w:ascii="Cambria" w:hAnsi="Cambria"/>
                                <w:i/>
                                <w:color w:val="auto"/>
                                <w:u w:val="none"/>
                              </w:rPr>
                            </w:pPr>
                            <w:r w:rsidRPr="00F3071E">
                              <w:rPr>
                                <w:rStyle w:val="HTMLCite"/>
                                <w:rFonts w:ascii="Cambria" w:hAnsi="Cambria"/>
                                <w:i w:val="0"/>
                              </w:rPr>
                              <w:t xml:space="preserve">East African Grains Council and Regional Agricultural Trade Intelligence Network. “East African Food &amp; Trade Bulletin” (monthly publication) </w:t>
                            </w:r>
                            <w:hyperlink r:id="rId11" w:history="1">
                              <w:r w:rsidRPr="00F3071E">
                                <w:rPr>
                                  <w:rStyle w:val="Hyperlink"/>
                                  <w:rFonts w:ascii="Cambria" w:hAnsi="Cambria"/>
                                </w:rPr>
                                <w:t>www.ratin.net</w:t>
                              </w:r>
                            </w:hyperlink>
                          </w:p>
                          <w:p w14:paraId="123C5F2F" w14:textId="77777777" w:rsidR="00E12842" w:rsidRPr="003F095A" w:rsidRDefault="00E12842" w:rsidP="006D35A8">
                            <w:pPr>
                              <w:ind w:left="360"/>
                              <w:rPr>
                                <w:rFonts w:ascii="Cambria" w:hAnsi="Cambria"/>
                              </w:rPr>
                            </w:pPr>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5pt;width:437.6pt;height:3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" filled="f" strokecolor="black [3213]">
                <v:textbox inset=",7.2pt,,7.2pt">
                  <w:txbxContent>
                    <w:p w14:paraId="30B758BA" w14:textId="53E4CBCD" w:rsidR="00E12842" w:rsidRPr="00150271" w:rsidRDefault="00963491" w:rsidP="006D35A8">
                      <w:pPr>
                        <w:rPr>
                          <w:rFonts w:ascii="Cambria" w:hAnsi="Cambria"/>
                          <w:u w:val="single"/>
                        </w:rPr>
                      </w:pPr>
                      <w:r>
                        <w:rPr>
                          <w:rFonts w:ascii="Cambria" w:hAnsi="Cambria"/>
                          <w:u w:val="single"/>
                        </w:rPr>
                        <w:t>Regional availability and prospective source markets</w:t>
                      </w:r>
                    </w:p>
                    <w:p w14:paraId="04D3B4C9" w14:textId="77777777" w:rsidR="00E12842" w:rsidRPr="00150271" w:rsidRDefault="00E12842" w:rsidP="006D35A8">
                      <w:pPr>
                        <w:pStyle w:val="ListParagraph"/>
                        <w:numPr>
                          <w:ilvl w:val="0"/>
                          <w:numId w:val="8"/>
                        </w:numPr>
                        <w:rPr>
                          <w:rFonts w:ascii="Cambria" w:hAnsi="Cambria"/>
                        </w:rPr>
                      </w:pPr>
                      <w:r w:rsidRPr="00150271">
                        <w:rPr>
                          <w:rFonts w:ascii="Cambria" w:hAnsi="Cambria"/>
                        </w:rPr>
                        <w:t xml:space="preserve">Food </w:t>
                      </w:r>
                      <w:r>
                        <w:rPr>
                          <w:rFonts w:ascii="Cambria" w:hAnsi="Cambria"/>
                        </w:rPr>
                        <w:t>b</w:t>
                      </w:r>
                      <w:r w:rsidRPr="00150271">
                        <w:rPr>
                          <w:rFonts w:ascii="Cambria" w:hAnsi="Cambria"/>
                        </w:rPr>
                        <w:t xml:space="preserve">alance </w:t>
                      </w:r>
                      <w:r>
                        <w:rPr>
                          <w:rFonts w:ascii="Cambria" w:hAnsi="Cambria"/>
                        </w:rPr>
                        <w:t>s</w:t>
                      </w:r>
                      <w:r w:rsidRPr="00150271">
                        <w:rPr>
                          <w:rFonts w:ascii="Cambria" w:hAnsi="Cambria"/>
                        </w:rPr>
                        <w:t xml:space="preserve">heets </w:t>
                      </w:r>
                    </w:p>
                    <w:p w14:paraId="48CB34FF" w14:textId="77777777" w:rsidR="00E12842" w:rsidRPr="00150271" w:rsidRDefault="00E12842" w:rsidP="006D35A8">
                      <w:pPr>
                        <w:pStyle w:val="ListParagraph"/>
                        <w:numPr>
                          <w:ilvl w:val="0"/>
                          <w:numId w:val="8"/>
                        </w:numPr>
                        <w:rPr>
                          <w:rFonts w:ascii="Cambria" w:hAnsi="Cambria"/>
                        </w:rPr>
                      </w:pPr>
                      <w:r w:rsidRPr="00150271">
                        <w:rPr>
                          <w:rFonts w:ascii="Cambria" w:hAnsi="Cambria"/>
                        </w:rPr>
                        <w:t xml:space="preserve">Informal </w:t>
                      </w:r>
                      <w:r>
                        <w:rPr>
                          <w:rFonts w:ascii="Cambria" w:hAnsi="Cambria"/>
                        </w:rPr>
                        <w:t>c</w:t>
                      </w:r>
                      <w:r w:rsidRPr="00150271">
                        <w:rPr>
                          <w:rFonts w:ascii="Cambria" w:hAnsi="Cambria"/>
                        </w:rPr>
                        <w:t xml:space="preserve">ross </w:t>
                      </w:r>
                      <w:r>
                        <w:rPr>
                          <w:rFonts w:ascii="Cambria" w:hAnsi="Cambria"/>
                        </w:rPr>
                        <w:t>b</w:t>
                      </w:r>
                      <w:r w:rsidRPr="00150271">
                        <w:rPr>
                          <w:rFonts w:ascii="Cambria" w:hAnsi="Cambria"/>
                        </w:rPr>
                        <w:t xml:space="preserve">order </w:t>
                      </w:r>
                      <w:r>
                        <w:rPr>
                          <w:rFonts w:ascii="Cambria" w:hAnsi="Cambria"/>
                        </w:rPr>
                        <w:t>t</w:t>
                      </w:r>
                      <w:r w:rsidRPr="00150271">
                        <w:rPr>
                          <w:rFonts w:ascii="Cambria" w:hAnsi="Cambria"/>
                        </w:rPr>
                        <w:t>rade</w:t>
                      </w:r>
                    </w:p>
                    <w:p w14:paraId="36BCFA65" w14:textId="77777777" w:rsidR="00E12842" w:rsidRPr="00150271" w:rsidRDefault="00E12842" w:rsidP="006D35A8">
                      <w:pPr>
                        <w:rPr>
                          <w:rFonts w:ascii="Cambria" w:hAnsi="Cambria"/>
                        </w:rPr>
                      </w:pPr>
                    </w:p>
                    <w:p w14:paraId="0ADED3C7" w14:textId="77777777" w:rsidR="00E12842" w:rsidRPr="00150271" w:rsidRDefault="00E12842" w:rsidP="006D35A8">
                      <w:pPr>
                        <w:rPr>
                          <w:rFonts w:ascii="Cambria" w:hAnsi="Cambria"/>
                          <w:i/>
                        </w:rPr>
                      </w:pPr>
                      <w:r w:rsidRPr="00150271">
                        <w:rPr>
                          <w:rFonts w:ascii="Cambria" w:hAnsi="Cambria"/>
                          <w:i/>
                        </w:rPr>
                        <w:t>Readings</w:t>
                      </w:r>
                    </w:p>
                    <w:p w14:paraId="4B677B08" w14:textId="77777777" w:rsidR="00864262" w:rsidRPr="00F3071E" w:rsidRDefault="00864262" w:rsidP="00864262">
                      <w:pPr>
                        <w:pStyle w:val="ListParagraph"/>
                        <w:numPr>
                          <w:ilvl w:val="0"/>
                          <w:numId w:val="8"/>
                        </w:numPr>
                        <w:rPr>
                          <w:rFonts w:ascii="Cambria" w:hAnsi="Cambria"/>
                        </w:rPr>
                      </w:pPr>
                      <w:r w:rsidRPr="00F3071E">
                        <w:rPr>
                          <w:rFonts w:ascii="Cambria" w:hAnsi="Cambria"/>
                        </w:rPr>
                        <w:t xml:space="preserve">Food and agriculture organization (FAO). 2002. “Training in the Preparation of Food Balance Sheets: Food Balance Sheets: Applications and uses.” June-July. No. 6. FAO, Rome. </w:t>
                      </w:r>
                      <w:r>
                        <w:rPr>
                          <w:rFonts w:ascii="Cambria" w:hAnsi="Cambria"/>
                          <w:i/>
                        </w:rPr>
                        <w:t xml:space="preserve"> </w:t>
                      </w:r>
                      <w:hyperlink r:id="rId12" w:history="1">
                        <w:r>
                          <w:rPr>
                            <w:rStyle w:val="Hyperlink"/>
                          </w:rPr>
                          <w:t>http://www.foodsec.org/DL/course/shortcourseFA/en/pdf/5_FBS_concepts.pdf</w:t>
                        </w:r>
                      </w:hyperlink>
                    </w:p>
                    <w:p w14:paraId="5BE7B141" w14:textId="77777777" w:rsidR="00864262" w:rsidRPr="00F3071E" w:rsidRDefault="00864262" w:rsidP="00864262">
                      <w:pPr>
                        <w:pStyle w:val="ListParagraph"/>
                        <w:numPr>
                          <w:ilvl w:val="0"/>
                          <w:numId w:val="8"/>
                        </w:numPr>
                        <w:rPr>
                          <w:rFonts w:ascii="Cambria" w:hAnsi="Cambria"/>
                        </w:rPr>
                      </w:pPr>
                      <w:r w:rsidRPr="00F3071E">
                        <w:rPr>
                          <w:rStyle w:val="HTMLCite"/>
                          <w:rFonts w:ascii="Cambria" w:hAnsi="Cambria"/>
                          <w:i w:val="0"/>
                        </w:rPr>
                        <w:t xml:space="preserve">Famine Early Warning System (2006) “Informal Cross Border Food Trade in Southern Africa” November.  - </w:t>
                      </w:r>
                      <w:r w:rsidRPr="00F3071E">
                        <w:rPr>
                          <w:rFonts w:ascii="Cambria" w:hAnsi="Cambria"/>
                          <w:i/>
                        </w:rPr>
                        <w:t>In Public Folder</w:t>
                      </w:r>
                      <w:r w:rsidRPr="00F3071E">
                        <w:rPr>
                          <w:rFonts w:ascii="Cambria" w:hAnsi="Cambria"/>
                        </w:rPr>
                        <w:t xml:space="preserve"> </w:t>
                      </w:r>
                      <w:hyperlink r:id="rId13" w:history="1">
                        <w:r w:rsidRPr="00F3071E">
                          <w:rPr>
                            <w:rStyle w:val="Hyperlink"/>
                            <w:rFonts w:ascii="Cambria" w:hAnsi="Cambria"/>
                          </w:rPr>
                          <w:t>www.fews.net/docs/Publications/1001210.pdf</w:t>
                        </w:r>
                      </w:hyperlink>
                    </w:p>
                    <w:p w14:paraId="6287F22A" w14:textId="77777777" w:rsidR="00864262" w:rsidRPr="00F3071E" w:rsidRDefault="00864262" w:rsidP="00864262">
                      <w:pPr>
                        <w:rPr>
                          <w:rFonts w:ascii="Cambria" w:hAnsi="Cambria"/>
                          <w:i/>
                        </w:rPr>
                      </w:pPr>
                    </w:p>
                    <w:p w14:paraId="14621026" w14:textId="77777777" w:rsidR="00864262" w:rsidRPr="00F3071E" w:rsidRDefault="00864262" w:rsidP="00864262">
                      <w:pPr>
                        <w:rPr>
                          <w:rFonts w:ascii="Cambria" w:hAnsi="Cambria"/>
                          <w:i/>
                        </w:rPr>
                      </w:pPr>
                      <w:r w:rsidRPr="00F3071E">
                        <w:rPr>
                          <w:rFonts w:ascii="Cambria" w:hAnsi="Cambria"/>
                          <w:i/>
                        </w:rPr>
                        <w:t>Supplementary Readings</w:t>
                      </w:r>
                    </w:p>
                    <w:p w14:paraId="111241F2" w14:textId="77777777" w:rsidR="00864262" w:rsidRPr="00F3071E" w:rsidRDefault="00864262" w:rsidP="00864262">
                      <w:pPr>
                        <w:pStyle w:val="ListParagraph"/>
                        <w:numPr>
                          <w:ilvl w:val="0"/>
                          <w:numId w:val="2"/>
                        </w:numPr>
                        <w:ind w:left="720"/>
                        <w:rPr>
                          <w:rFonts w:ascii="Cambria" w:hAnsi="Cambria"/>
                        </w:rPr>
                      </w:pPr>
                      <w:proofErr w:type="spellStart"/>
                      <w:r w:rsidRPr="00F3071E">
                        <w:rPr>
                          <w:rFonts w:ascii="Cambria" w:hAnsi="Cambria"/>
                        </w:rPr>
                        <w:t>Tschirley</w:t>
                      </w:r>
                      <w:proofErr w:type="spellEnd"/>
                      <w:r w:rsidRPr="00F3071E">
                        <w:rPr>
                          <w:rFonts w:ascii="Cambria" w:hAnsi="Cambria"/>
                        </w:rPr>
                        <w:t xml:space="preserve">, D. and A.M. del Castillo (2006) “Local and Regional Food Aid Procurement: An assessment of experience in African and elements of good donor practice.” Policy synthesis for cooperating USAID offices and countries missions No. 79. Washington: USAID. </w:t>
                      </w:r>
                      <w:r>
                        <w:rPr>
                          <w:rFonts w:ascii="Cambria" w:hAnsi="Cambria"/>
                          <w:i/>
                        </w:rPr>
                        <w:t xml:space="preserve"> </w:t>
                      </w:r>
                      <w:hyperlink r:id="rId14" w:history="1">
                        <w:r>
                          <w:rPr>
                            <w:rStyle w:val="Hyperlink"/>
                          </w:rPr>
                          <w:t>http://ageconsearch.umn.edu/bitstream/54486/2/wp_27.pdf</w:t>
                        </w:r>
                      </w:hyperlink>
                    </w:p>
                    <w:p w14:paraId="0478A6FA" w14:textId="77777777" w:rsidR="00864262" w:rsidRPr="003B0403" w:rsidRDefault="00864262" w:rsidP="00864262">
                      <w:pPr>
                        <w:pStyle w:val="ListParagraph"/>
                        <w:numPr>
                          <w:ilvl w:val="0"/>
                          <w:numId w:val="8"/>
                        </w:numPr>
                        <w:rPr>
                          <w:rStyle w:val="Hyperlink"/>
                          <w:rFonts w:ascii="Cambria" w:hAnsi="Cambria"/>
                          <w:i/>
                          <w:color w:val="auto"/>
                          <w:u w:val="none"/>
                        </w:rPr>
                      </w:pPr>
                      <w:r w:rsidRPr="00F3071E">
                        <w:rPr>
                          <w:rStyle w:val="HTMLCite"/>
                          <w:rFonts w:ascii="Cambria" w:hAnsi="Cambria"/>
                          <w:i w:val="0"/>
                        </w:rPr>
                        <w:t xml:space="preserve">East African Grains Council and Regional Agricultural Trade Intelligence Network. “East African Food &amp; Trade Bulletin” (monthly publication) </w:t>
                      </w:r>
                      <w:hyperlink r:id="rId15" w:history="1">
                        <w:r w:rsidRPr="00F3071E">
                          <w:rPr>
                            <w:rStyle w:val="Hyperlink"/>
                            <w:rFonts w:ascii="Cambria" w:hAnsi="Cambria"/>
                          </w:rPr>
                          <w:t>www.ratin.net</w:t>
                        </w:r>
                      </w:hyperlink>
                    </w:p>
                    <w:p w14:paraId="123C5F2F" w14:textId="77777777" w:rsidR="00E12842" w:rsidRPr="003F095A" w:rsidRDefault="00E12842" w:rsidP="006D35A8">
                      <w:pPr>
                        <w:ind w:left="360"/>
                        <w:rPr>
                          <w:rFonts w:ascii="Cambria" w:hAnsi="Cambria"/>
                        </w:rPr>
                      </w:pPr>
                      <w:bookmarkStart w:id="1" w:name="_GoBack"/>
                      <w:bookmarkEnd w:id="1"/>
                    </w:p>
                  </w:txbxContent>
                </v:textbox>
                <w10:wrap type="tight"/>
              </v:shape>
            </w:pict>
          </mc:Fallback>
        </mc:AlternateContent>
      </w:r>
    </w:p>
    <w:p w14:paraId="62DE614D" w14:textId="77777777" w:rsidR="00B72A12" w:rsidRDefault="00B72A12" w:rsidP="00A220EC">
      <w:pPr>
        <w:rPr>
          <w:b/>
        </w:rPr>
      </w:pPr>
    </w:p>
    <w:p w14:paraId="41852BE6" w14:textId="1389A330" w:rsidR="00A220EC" w:rsidRPr="00DA11A0" w:rsidRDefault="0095794C" w:rsidP="00A220EC">
      <w:r>
        <w:t>In the previous lecture</w:t>
      </w:r>
      <w:r w:rsidR="00A220EC">
        <w:t xml:space="preserve">, we examined how import parity prices shape traders’ incentives to move food into deficit countries. When import parity prices are above local market prices, the local market is segmented from the international market. </w:t>
      </w:r>
      <w:r w:rsidR="002134C4">
        <w:t xml:space="preserve">Food may be available, and traders may be able to respond to increased demand. </w:t>
      </w:r>
      <w:r w:rsidR="00A220EC">
        <w:t xml:space="preserve">Assessing availability will help us to determine if this market segmentation is due to ample local surplus that is depressing local prices, or if administrative, financial, or logistical barriers </w:t>
      </w:r>
      <w:r w:rsidR="00AE6881">
        <w:t>are resulting in</w:t>
      </w:r>
      <w:r w:rsidR="00A220EC">
        <w:t xml:space="preserve"> low prices with food scarcity. In the former case, local procurement options should be explored. In the latter case, regional procurement (rather than local procurement) may be preferred because procuring in areas without surplus and limited capacity to import more (either locally or regionally) will increase the likelihood that purchases will drive up prices, potentially harming local consumers. Therefore, consider availability in conjunction </w:t>
      </w:r>
      <w:r w:rsidR="00A220EC">
        <w:lastRenderedPageBreak/>
        <w:t>with trade policies, import parity prices, and trader constraints.  Finally, we need to examine not just availability through formal channels, but also how availability may be supplemented or depleted through informal channels.</w:t>
      </w:r>
    </w:p>
    <w:p w14:paraId="2CF1FC75" w14:textId="77777777" w:rsidR="00A220EC" w:rsidRDefault="00A220EC" w:rsidP="00A220EC"/>
    <w:p w14:paraId="6CE87592" w14:textId="21FBC15C" w:rsidR="00A220EC" w:rsidRPr="0027333F" w:rsidRDefault="005F4758" w:rsidP="00A220EC">
      <w:pPr>
        <w:rPr>
          <w:b/>
        </w:rPr>
      </w:pPr>
      <w:r>
        <w:rPr>
          <w:b/>
        </w:rPr>
        <w:t>Food balance s</w:t>
      </w:r>
      <w:r w:rsidR="00A220EC" w:rsidRPr="0037494A">
        <w:rPr>
          <w:b/>
        </w:rPr>
        <w:t>heets</w:t>
      </w:r>
    </w:p>
    <w:p w14:paraId="4BDDAB8E" w14:textId="5EEDF9F6" w:rsidR="00A220EC" w:rsidRDefault="00A220EC" w:rsidP="00A220EC">
      <w:r>
        <w:t xml:space="preserve">Food balance sheets (FBS) </w:t>
      </w:r>
      <w:r w:rsidR="00607F33">
        <w:t>are</w:t>
      </w:r>
      <w:r>
        <w:t xml:space="preserve"> estimates of local production, exports, consumption, and imports and can </w:t>
      </w:r>
      <w:r w:rsidR="005F7868">
        <w:t>indicate</w:t>
      </w:r>
      <w:r>
        <w:t xml:space="preserve"> surpluses within a country or regionally. </w:t>
      </w:r>
      <w:r w:rsidR="00A041B9">
        <w:t xml:space="preserve"> FBS are often compiled at a national level. </w:t>
      </w:r>
      <w:r>
        <w:t xml:space="preserve">FBS are occasionally created for different agro-ecological zones within a country and may include other information on </w:t>
      </w:r>
      <w:r w:rsidR="00A041B9">
        <w:t xml:space="preserve">informal trade, </w:t>
      </w:r>
      <w:r>
        <w:t xml:space="preserve">feed, seed, livestock use, and processing and storage losses. FBS do not show how access to food may differ by subpopulation. The FBS may also include population and </w:t>
      </w:r>
      <w:r w:rsidR="0027232A">
        <w:t>nutritional</w:t>
      </w:r>
      <w:r>
        <w:t xml:space="preserve"> conversion factors, allowing for calculation of average per capita availability</w:t>
      </w:r>
      <w:r w:rsidR="0027232A">
        <w:t xml:space="preserve"> of calories, protein, and fats.</w:t>
      </w:r>
    </w:p>
    <w:p w14:paraId="45BF927F" w14:textId="77777777" w:rsidR="003065F2" w:rsidRDefault="003065F2" w:rsidP="00A220EC"/>
    <w:p w14:paraId="6163DF29" w14:textId="15164E2B" w:rsidR="003065F2" w:rsidRDefault="003065F2" w:rsidP="00A220EC">
      <w:r>
        <w:t>FBS were commonly used in the 1970s and 1980s, when food self-sufficien</w:t>
      </w:r>
      <w:r w:rsidR="00CF6FB8">
        <w:t>cy was a common policy goal. A</w:t>
      </w:r>
      <w:r>
        <w:t xml:space="preserve">gricultural marketing boards set prices and/or bought surplus or released </w:t>
      </w:r>
      <w:r w:rsidR="00CF6FB8">
        <w:t>reserves depending on estimated production and utilization measures captured in FBS</w:t>
      </w:r>
      <w:r>
        <w:t>.</w:t>
      </w:r>
      <w:r w:rsidR="00CF6FB8">
        <w:t xml:space="preserve"> With the increased reliance on trade to mop up surplus and to meet demand, FBS are less commonly used today.</w:t>
      </w:r>
    </w:p>
    <w:p w14:paraId="120B51BD" w14:textId="77777777" w:rsidR="00A220EC" w:rsidRDefault="00A220EC" w:rsidP="00A220EC"/>
    <w:p w14:paraId="574B6965" w14:textId="77777777" w:rsidR="00A220EC" w:rsidRDefault="00A220EC" w:rsidP="00A220EC">
      <w:r>
        <w:t>The below table describes some common elements in food balance sheets.</w:t>
      </w:r>
    </w:p>
    <w:p w14:paraId="03172834" w14:textId="77777777" w:rsidR="00A220EC" w:rsidRDefault="00A220EC" w:rsidP="00A220EC">
      <w:r w:rsidRPr="003A351F">
        <w:rPr>
          <w:noProof/>
        </w:rPr>
        <w:drawing>
          <wp:inline distT="0" distB="0" distL="0" distR="0" wp14:anchorId="1FF62454" wp14:editId="40DC5F91">
            <wp:extent cx="5486400" cy="3505200"/>
            <wp:effectExtent l="25400" t="0" r="0" b="0"/>
            <wp:docPr id="1" name="P 1" descr="WFP Food Balance Sheet.tiff"/>
            <wp:cNvGraphicFramePr/>
            <a:graphic xmlns:a="http://schemas.openxmlformats.org/drawingml/2006/main">
              <a:graphicData uri="http://schemas.openxmlformats.org/drawingml/2006/picture">
                <pic:pic xmlns:pic="http://schemas.openxmlformats.org/drawingml/2006/picture">
                  <pic:nvPicPr>
                    <pic:cNvPr id="0" name="Content Placeholder 5" descr="WFP Food Balance Sheet.tiff"/>
                    <pic:cNvPicPr>
                      <a:picLocks noGrp="1" noChangeAspect="1"/>
                    </pic:cNvPicPr>
                  </pic:nvPicPr>
                  <pic:blipFill>
                    <a:blip r:embed="rId16" cstate="print"/>
                    <a:srcRect t="-13889" b="-13889"/>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2A6E0492" w14:textId="77777777" w:rsidR="00A220EC" w:rsidRDefault="00A220EC" w:rsidP="00A220EC">
      <w:r>
        <w:t>Source: WFP (2009) “The Basics of Market Analysis.”</w:t>
      </w:r>
    </w:p>
    <w:p w14:paraId="59B218ED" w14:textId="77777777" w:rsidR="00A220EC" w:rsidRDefault="00A220EC" w:rsidP="00A220EC"/>
    <w:p w14:paraId="59C5DF42" w14:textId="77777777" w:rsidR="0074235D" w:rsidRPr="00631174" w:rsidRDefault="0074235D" w:rsidP="0074235D">
      <w:pPr>
        <w:rPr>
          <w:i/>
          <w:u w:val="single"/>
        </w:rPr>
      </w:pPr>
      <w:r w:rsidRPr="00242E05">
        <w:rPr>
          <w:i/>
          <w:u w:val="single"/>
        </w:rPr>
        <w:t>How does analyzing food balance sheets assist in answering the relevant MIFIRA sub-question?</w:t>
      </w:r>
    </w:p>
    <w:p w14:paraId="1712C610" w14:textId="77777777" w:rsidR="0074235D" w:rsidRPr="0093324F" w:rsidRDefault="0074235D" w:rsidP="0074235D">
      <w:pPr>
        <w:rPr>
          <w:i/>
        </w:rPr>
      </w:pPr>
      <w:r w:rsidRPr="0093324F">
        <w:rPr>
          <w:i/>
        </w:rPr>
        <w:t>2a. Where are viable prospective source markets?</w:t>
      </w:r>
    </w:p>
    <w:p w14:paraId="46451A8B" w14:textId="77777777" w:rsidR="0074235D" w:rsidRDefault="0074235D" w:rsidP="0074235D">
      <w:r>
        <w:lastRenderedPageBreak/>
        <w:t>Non-surplus markets may be less suitable for procurement than surplus markets, unless traders are active importers and have incentives to import.</w:t>
      </w:r>
    </w:p>
    <w:p w14:paraId="64183251" w14:textId="77777777" w:rsidR="0074235D" w:rsidRDefault="0074235D" w:rsidP="0074235D"/>
    <w:p w14:paraId="0F4F35E1" w14:textId="77777777" w:rsidR="0074235D" w:rsidRPr="0093324F" w:rsidRDefault="0074235D" w:rsidP="0074235D">
      <w:pPr>
        <w:rPr>
          <w:i/>
        </w:rPr>
      </w:pPr>
      <w:r w:rsidRPr="0093324F">
        <w:rPr>
          <w:i/>
        </w:rPr>
        <w:t>2b. Will agency purchases drive up food prices excessively in source markets?</w:t>
      </w:r>
    </w:p>
    <w:p w14:paraId="6CD2B427" w14:textId="77777777" w:rsidR="0074235D" w:rsidRDefault="0074235D" w:rsidP="0074235D">
      <w:r>
        <w:t>Regions with available surplus face less risk of price increases due to agency procurement.</w:t>
      </w:r>
    </w:p>
    <w:p w14:paraId="4B1E0580" w14:textId="77777777" w:rsidR="0074235D" w:rsidRDefault="0074235D" w:rsidP="00A220EC">
      <w:pPr>
        <w:rPr>
          <w:i/>
          <w:u w:val="single"/>
        </w:rPr>
      </w:pPr>
    </w:p>
    <w:p w14:paraId="20731C4F" w14:textId="447FEB8B" w:rsidR="00A220EC" w:rsidRPr="0074235D" w:rsidRDefault="000C2DA1" w:rsidP="00A220EC">
      <w:pPr>
        <w:rPr>
          <w:i/>
          <w:u w:val="single"/>
        </w:rPr>
      </w:pPr>
      <w:r>
        <w:rPr>
          <w:i/>
          <w:u w:val="single"/>
        </w:rPr>
        <w:t>To analyze</w:t>
      </w:r>
      <w:r w:rsidR="0074235D" w:rsidRPr="0074235D">
        <w:rPr>
          <w:i/>
          <w:u w:val="single"/>
        </w:rPr>
        <w:t xml:space="preserve"> a food balance sheet</w:t>
      </w:r>
    </w:p>
    <w:p w14:paraId="666BA47F" w14:textId="77777777" w:rsidR="003975BC" w:rsidRPr="006726FC" w:rsidRDefault="003975BC" w:rsidP="003975BC">
      <w:r>
        <w:t>To assess</w:t>
      </w:r>
      <w:r w:rsidRPr="00B202C9">
        <w:t xml:space="preserve"> availability from a balance sheet</w:t>
      </w:r>
      <w:r>
        <w:t xml:space="preserve"> one must</w:t>
      </w:r>
      <w:r w:rsidRPr="00B202C9">
        <w:t xml:space="preserve"> understand the assumptions used to generate the estimates</w:t>
      </w:r>
      <w:r>
        <w:t xml:space="preserve"> and evaluate the likelihood of deviations from the past annual balance sheet (</w:t>
      </w:r>
      <w:proofErr w:type="spellStart"/>
      <w:r>
        <w:t>e.,g</w:t>
      </w:r>
      <w:proofErr w:type="spellEnd"/>
      <w:r>
        <w:t xml:space="preserve"> due to unanticipated production failures). Where possible, establish how each line was calculated. Note that values in an FBS should be treated as estimates. For example, maize </w:t>
      </w:r>
      <w:r w:rsidRPr="006726FC">
        <w:t>loses weight as it dries (4% over 4 months following a harvest). This isn’t a “loss”</w:t>
      </w:r>
      <w:r>
        <w:t xml:space="preserve"> that generally appears on the FBS</w:t>
      </w:r>
      <w:r w:rsidRPr="006726FC">
        <w:t xml:space="preserve"> but may be counted as such by farmers.</w:t>
      </w:r>
      <w:r>
        <w:t xml:space="preserve"> If production and availability are highly volatile, it will be more difficult to predict whether local production can meet increases in demand due to local procurement. </w:t>
      </w:r>
    </w:p>
    <w:p w14:paraId="14A3AE8A" w14:textId="77777777" w:rsidR="003975BC" w:rsidRDefault="003975BC" w:rsidP="00A220EC"/>
    <w:p w14:paraId="7B11BEDD" w14:textId="77777777" w:rsidR="00A220EC" w:rsidRDefault="00A220EC" w:rsidP="00A220EC">
      <w:r>
        <w:t>FBS are often presented by commodity (or commodity group, such as cereals).  One useful measure that can be derived from the FBS is the import dependency ratio (IDR), which is imports divided by the sum of production and net imports. This is a general calculation for key commodities, such as staples.</w:t>
      </w:r>
    </w:p>
    <w:p w14:paraId="72D41F04" w14:textId="77777777" w:rsidR="00A220EC" w:rsidRDefault="00A220EC" w:rsidP="00A220EC"/>
    <w:p w14:paraId="4EB6CAAC" w14:textId="77777777" w:rsidR="00A220EC" w:rsidRDefault="00A220EC" w:rsidP="00A220EC">
      <w:r>
        <w:t>IDR= imports/ (production + imports – exports)</w:t>
      </w:r>
    </w:p>
    <w:p w14:paraId="558A09D1" w14:textId="77777777" w:rsidR="00A220EC" w:rsidRDefault="00A220EC" w:rsidP="00A220EC"/>
    <w:p w14:paraId="2BA76EE5" w14:textId="77777777" w:rsidR="00A220EC" w:rsidRDefault="00A220EC" w:rsidP="00A220EC">
      <w:r>
        <w:t xml:space="preserve">Governments may use the IDR to predict required imports, and may shift trade policies to encourage (or discourage) imports. The IDR can help elucidate the role of formal imports in meeting food availability. Note that the FBS does not always include estimates of informal imports. All else equal (i.e., import parity prices, trade policies, and exchange rates), countries regularly importing may be more able to boost imports in the face of additional demand more easily than countries that are sporadic importers. Similarly, regions or countries with large surplus or active trade may be better source markets for procurement. </w:t>
      </w:r>
    </w:p>
    <w:p w14:paraId="5156041B" w14:textId="77777777" w:rsidR="00A220EC" w:rsidRDefault="00A220EC" w:rsidP="00A220EC"/>
    <w:p w14:paraId="6BE8737F" w14:textId="2D6D16A5" w:rsidR="00A220EC" w:rsidRDefault="00A220EC" w:rsidP="00A220EC">
      <w:r>
        <w:t>It is also possible to compute a self-sufficiency ratio, which is the ratio of domestic production over tot</w:t>
      </w:r>
      <w:r w:rsidR="0074235D">
        <w:t>al production and net imports. However, t</w:t>
      </w:r>
      <w:r>
        <w:t>his measure can be misleading. A country that produces enough of a commodity to meet domestic needs may not do so, either because some of it is exported or because of unequal distribution or access.</w:t>
      </w:r>
    </w:p>
    <w:p w14:paraId="2166BC37" w14:textId="77777777" w:rsidR="004A2781" w:rsidRDefault="004A2781" w:rsidP="004A2781"/>
    <w:p w14:paraId="7D4F59ED" w14:textId="587923C1" w:rsidR="004A2781" w:rsidRPr="001F44B4" w:rsidRDefault="004A2781" w:rsidP="004A2781">
      <w:pPr>
        <w:rPr>
          <w:i/>
          <w:u w:val="single"/>
        </w:rPr>
      </w:pPr>
      <w:r w:rsidRPr="001F44B4">
        <w:rPr>
          <w:i/>
          <w:u w:val="single"/>
        </w:rPr>
        <w:t xml:space="preserve">Malawi’s Cereal Balances for 2005 </w:t>
      </w:r>
    </w:p>
    <w:p w14:paraId="5C370CCE" w14:textId="77777777" w:rsidR="008F45C8" w:rsidRDefault="006C7278" w:rsidP="008F45C8">
      <w:r>
        <w:t xml:space="preserve">The Malawi cereals FBS breaks down availability across a number of categories. Maize is clearly the dominant cereal produced and consumed in Malawi. Domestic supply is the sum of production, imports, and stocks minus exports (in red below). In this example, domestic supply is equivalent to domestic utilization, which is the </w:t>
      </w:r>
      <w:r>
        <w:lastRenderedPageBreak/>
        <w:t xml:space="preserve">sum of feed, seed, processing and food (in blue below). Note that reported imports of maize are 125,000 metric tons. </w:t>
      </w:r>
      <w:r w:rsidR="008F45C8">
        <w:t xml:space="preserve"> </w:t>
      </w:r>
    </w:p>
    <w:p w14:paraId="7A60D4FE" w14:textId="77777777" w:rsidR="008F45C8" w:rsidRDefault="008F45C8" w:rsidP="008F45C8"/>
    <w:p w14:paraId="236DE8D3" w14:textId="3A62D50D" w:rsidR="008F45C8" w:rsidRPr="008F45C8" w:rsidRDefault="00E40FC2" w:rsidP="008F45C8">
      <w:r>
        <w:t xml:space="preserve">According to this FBS, </w:t>
      </w:r>
      <w:r w:rsidR="008F45C8" w:rsidRPr="008F45C8">
        <w:t xml:space="preserve">1.2 million tons </w:t>
      </w:r>
      <w:r>
        <w:t xml:space="preserve">were </w:t>
      </w:r>
      <w:r w:rsidR="008F45C8" w:rsidRPr="008F45C8">
        <w:t>produced</w:t>
      </w:r>
      <w:r w:rsidR="002C06F8">
        <w:t>, 2.1 million tons were available (sum of production, imports, and stock variation)</w:t>
      </w:r>
      <w:r>
        <w:t xml:space="preserve"> and about </w:t>
      </w:r>
      <w:r w:rsidR="002C06F8">
        <w:t>1.9</w:t>
      </w:r>
      <w:r w:rsidR="008F45C8" w:rsidRPr="008F45C8">
        <w:t xml:space="preserve"> million tons </w:t>
      </w:r>
      <w:r>
        <w:t xml:space="preserve">were </w:t>
      </w:r>
      <w:r w:rsidR="008F45C8" w:rsidRPr="008F45C8">
        <w:t>required</w:t>
      </w:r>
      <w:r>
        <w:t>. The stock</w:t>
      </w:r>
      <w:r w:rsidR="009E54A4">
        <w:t xml:space="preserve"> variation is </w:t>
      </w:r>
      <w:r w:rsidR="008F45C8" w:rsidRPr="008F45C8">
        <w:t>changes in stocks occurring during the reference period at all levels between the production and the retail levels, i.e. it comprises changes in government stocks, in stocks with manufacturers, importers, exporters, other wholesale and retail merchants, transport and storage enterprises and in stocks on farms. In actual fact, however, the information available often relates only to stocks held by governments and even these are not available for a number of countries and important commodities. In the absence of information on opening and closing stocks changes in stocks are also used for shifting production from the calendar year in which it is harvested to the year in which it is consumed. Net increases in stocks (add to stock) are generally indicated by the sign "-". No sign denotes net decreases (from stock).</w:t>
      </w:r>
    </w:p>
    <w:p w14:paraId="35EA4284" w14:textId="77777777" w:rsidR="008F45C8" w:rsidRDefault="008F45C8" w:rsidP="006C7278"/>
    <w:p w14:paraId="72182E5A" w14:textId="04ABA1EA" w:rsidR="006C7278" w:rsidRDefault="0079178A" w:rsidP="006C7278">
      <w:r>
        <w:t>I</w:t>
      </w:r>
      <w:r w:rsidR="006C7278">
        <w:t>f we were to use this FBS, we would want to examine roots and tubers, which are important substitutes for cereals in Malawi.</w:t>
      </w:r>
      <w:r w:rsidR="00C311C4">
        <w:t xml:space="preserve"> Further, this balance sheet does not include waste. The total domestic utilization (sum of feed, seed, processing and food) is below the domestic supply quantity.</w:t>
      </w:r>
    </w:p>
    <w:p w14:paraId="4928979D" w14:textId="77777777" w:rsidR="006C7278" w:rsidRPr="004A2781" w:rsidRDefault="006C7278" w:rsidP="004A2781">
      <w:pPr>
        <w:rPr>
          <w:u w:val="single"/>
        </w:rPr>
      </w:pPr>
    </w:p>
    <w:tbl>
      <w:tblPr>
        <w:tblW w:w="9536" w:type="dxa"/>
        <w:tblInd w:w="108" w:type="dxa"/>
        <w:tblLayout w:type="fixed"/>
        <w:tblLook w:val="0000" w:firstRow="0" w:lastRow="0" w:firstColumn="0" w:lastColumn="0" w:noHBand="0" w:noVBand="0"/>
      </w:tblPr>
      <w:tblGrid>
        <w:gridCol w:w="990"/>
        <w:gridCol w:w="990"/>
        <w:gridCol w:w="900"/>
        <w:gridCol w:w="900"/>
        <w:gridCol w:w="814"/>
        <w:gridCol w:w="900"/>
        <w:gridCol w:w="625"/>
        <w:gridCol w:w="674"/>
        <w:gridCol w:w="993"/>
        <w:gridCol w:w="616"/>
        <w:gridCol w:w="1134"/>
      </w:tblGrid>
      <w:tr w:rsidR="0081536C" w:rsidRPr="0081536C" w14:paraId="039C61C7" w14:textId="7988B3BB" w:rsidTr="0081536C">
        <w:trPr>
          <w:trHeight w:val="1305"/>
        </w:trPr>
        <w:tc>
          <w:tcPr>
            <w:tcW w:w="990" w:type="dxa"/>
            <w:tcBorders>
              <w:top w:val="nil"/>
              <w:left w:val="nil"/>
              <w:bottom w:val="nil"/>
              <w:right w:val="nil"/>
            </w:tcBorders>
            <w:shd w:val="clear" w:color="auto" w:fill="auto"/>
            <w:noWrap/>
            <w:vAlign w:val="bottom"/>
          </w:tcPr>
          <w:p w14:paraId="6839D208" w14:textId="332BC2AA" w:rsidR="00C311C4" w:rsidRPr="0081536C" w:rsidRDefault="0081536C" w:rsidP="00C36A8E">
            <w:pPr>
              <w:rPr>
                <w:rFonts w:ascii="Calibri" w:hAnsi="Calibri"/>
                <w:sz w:val="16"/>
                <w:szCs w:val="16"/>
              </w:rPr>
            </w:pPr>
            <w:r w:rsidRPr="0081536C">
              <w:rPr>
                <w:rFonts w:ascii="Calibri" w:hAnsi="Calibri"/>
                <w:sz w:val="16"/>
                <w:szCs w:val="16"/>
              </w:rPr>
              <w:t>I</w:t>
            </w:r>
            <w:r w:rsidR="00C311C4" w:rsidRPr="0081536C">
              <w:rPr>
                <w:rFonts w:ascii="Calibri" w:hAnsi="Calibri"/>
                <w:sz w:val="16"/>
                <w:szCs w:val="16"/>
              </w:rPr>
              <w:t>tem</w:t>
            </w:r>
          </w:p>
        </w:tc>
        <w:tc>
          <w:tcPr>
            <w:tcW w:w="990" w:type="dxa"/>
            <w:tcBorders>
              <w:top w:val="nil"/>
              <w:left w:val="nil"/>
              <w:bottom w:val="nil"/>
              <w:right w:val="nil"/>
            </w:tcBorders>
            <w:shd w:val="clear" w:color="auto" w:fill="auto"/>
            <w:vAlign w:val="bottom"/>
          </w:tcPr>
          <w:p w14:paraId="0D3B5D58" w14:textId="6FC87F57" w:rsidR="00C311C4" w:rsidRPr="0081536C" w:rsidRDefault="0081536C" w:rsidP="00C36A8E">
            <w:pPr>
              <w:rPr>
                <w:rFonts w:ascii="Calibri" w:hAnsi="Calibri"/>
                <w:b/>
                <w:bCs/>
                <w:sz w:val="16"/>
                <w:szCs w:val="16"/>
              </w:rPr>
            </w:pPr>
            <w:r w:rsidRPr="0081536C">
              <w:rPr>
                <w:rFonts w:ascii="Calibri" w:hAnsi="Calibri"/>
                <w:b/>
                <w:bCs/>
                <w:sz w:val="16"/>
                <w:szCs w:val="16"/>
              </w:rPr>
              <w:t>Production (1000 tons</w:t>
            </w:r>
            <w:r w:rsidR="00C311C4" w:rsidRPr="0081536C">
              <w:rPr>
                <w:rFonts w:ascii="Calibri" w:hAnsi="Calibri"/>
                <w:b/>
                <w:bCs/>
                <w:sz w:val="16"/>
                <w:szCs w:val="16"/>
              </w:rPr>
              <w:t>)</w:t>
            </w:r>
          </w:p>
        </w:tc>
        <w:tc>
          <w:tcPr>
            <w:tcW w:w="900" w:type="dxa"/>
            <w:tcBorders>
              <w:top w:val="nil"/>
              <w:left w:val="nil"/>
              <w:bottom w:val="nil"/>
              <w:right w:val="nil"/>
            </w:tcBorders>
            <w:shd w:val="clear" w:color="auto" w:fill="auto"/>
            <w:vAlign w:val="bottom"/>
          </w:tcPr>
          <w:p w14:paraId="3978A3AE" w14:textId="5934B4D4" w:rsidR="00C311C4" w:rsidRPr="0081536C" w:rsidRDefault="0081536C" w:rsidP="00C36A8E">
            <w:pPr>
              <w:rPr>
                <w:rFonts w:ascii="Calibri" w:hAnsi="Calibri"/>
                <w:b/>
                <w:bCs/>
                <w:sz w:val="16"/>
                <w:szCs w:val="16"/>
              </w:rPr>
            </w:pPr>
            <w:r w:rsidRPr="0081536C">
              <w:rPr>
                <w:rFonts w:ascii="Calibri" w:hAnsi="Calibri"/>
                <w:b/>
                <w:bCs/>
                <w:sz w:val="16"/>
                <w:szCs w:val="16"/>
              </w:rPr>
              <w:t>Import Quantity (1000 tons</w:t>
            </w:r>
            <w:r w:rsidR="00C311C4" w:rsidRPr="0081536C">
              <w:rPr>
                <w:rFonts w:ascii="Calibri" w:hAnsi="Calibri"/>
                <w:b/>
                <w:bCs/>
                <w:sz w:val="16"/>
                <w:szCs w:val="16"/>
              </w:rPr>
              <w:t>)</w:t>
            </w:r>
          </w:p>
        </w:tc>
        <w:tc>
          <w:tcPr>
            <w:tcW w:w="900" w:type="dxa"/>
            <w:tcBorders>
              <w:top w:val="nil"/>
              <w:left w:val="nil"/>
              <w:bottom w:val="nil"/>
              <w:right w:val="nil"/>
            </w:tcBorders>
            <w:shd w:val="clear" w:color="auto" w:fill="auto"/>
            <w:vAlign w:val="bottom"/>
          </w:tcPr>
          <w:p w14:paraId="642C1237" w14:textId="5AEE0847" w:rsidR="00C311C4" w:rsidRPr="0081536C" w:rsidRDefault="0081536C" w:rsidP="00C36A8E">
            <w:pPr>
              <w:rPr>
                <w:rFonts w:ascii="Calibri" w:hAnsi="Calibri"/>
                <w:b/>
                <w:bCs/>
                <w:sz w:val="16"/>
                <w:szCs w:val="16"/>
              </w:rPr>
            </w:pPr>
            <w:r w:rsidRPr="0081536C">
              <w:rPr>
                <w:rFonts w:ascii="Calibri" w:hAnsi="Calibri"/>
                <w:b/>
                <w:bCs/>
                <w:sz w:val="16"/>
                <w:szCs w:val="16"/>
              </w:rPr>
              <w:t>Stock Variation (1000 ton</w:t>
            </w:r>
            <w:r w:rsidR="00C311C4" w:rsidRPr="0081536C">
              <w:rPr>
                <w:rFonts w:ascii="Calibri" w:hAnsi="Calibri"/>
                <w:b/>
                <w:bCs/>
                <w:sz w:val="16"/>
                <w:szCs w:val="16"/>
              </w:rPr>
              <w:t>s)</w:t>
            </w:r>
          </w:p>
        </w:tc>
        <w:tc>
          <w:tcPr>
            <w:tcW w:w="814" w:type="dxa"/>
            <w:tcBorders>
              <w:top w:val="nil"/>
              <w:left w:val="nil"/>
              <w:bottom w:val="nil"/>
              <w:right w:val="nil"/>
            </w:tcBorders>
            <w:shd w:val="clear" w:color="auto" w:fill="auto"/>
            <w:vAlign w:val="bottom"/>
          </w:tcPr>
          <w:p w14:paraId="09C3B72D" w14:textId="0B6622BB" w:rsidR="00C311C4" w:rsidRPr="0081536C" w:rsidRDefault="0081536C" w:rsidP="00C36A8E">
            <w:pPr>
              <w:rPr>
                <w:rFonts w:ascii="Calibri" w:hAnsi="Calibri"/>
                <w:b/>
                <w:bCs/>
                <w:sz w:val="16"/>
                <w:szCs w:val="16"/>
              </w:rPr>
            </w:pPr>
            <w:r w:rsidRPr="0081536C">
              <w:rPr>
                <w:rFonts w:ascii="Calibri" w:hAnsi="Calibri"/>
                <w:b/>
                <w:bCs/>
                <w:sz w:val="16"/>
                <w:szCs w:val="16"/>
              </w:rPr>
              <w:t>Export Quantity (1000 ton</w:t>
            </w:r>
            <w:r w:rsidR="00C311C4" w:rsidRPr="0081536C">
              <w:rPr>
                <w:rFonts w:ascii="Calibri" w:hAnsi="Calibri"/>
                <w:b/>
                <w:bCs/>
                <w:sz w:val="16"/>
                <w:szCs w:val="16"/>
              </w:rPr>
              <w:t>s)</w:t>
            </w:r>
          </w:p>
        </w:tc>
        <w:tc>
          <w:tcPr>
            <w:tcW w:w="900" w:type="dxa"/>
            <w:tcBorders>
              <w:top w:val="nil"/>
              <w:left w:val="nil"/>
              <w:bottom w:val="nil"/>
              <w:right w:val="nil"/>
            </w:tcBorders>
            <w:shd w:val="clear" w:color="auto" w:fill="auto"/>
            <w:vAlign w:val="bottom"/>
          </w:tcPr>
          <w:p w14:paraId="3457021B" w14:textId="3B4F8456" w:rsidR="00C311C4" w:rsidRPr="0081536C" w:rsidRDefault="00C311C4" w:rsidP="00C36A8E">
            <w:pPr>
              <w:rPr>
                <w:rFonts w:ascii="Calibri" w:hAnsi="Calibri"/>
                <w:b/>
                <w:bCs/>
                <w:sz w:val="16"/>
                <w:szCs w:val="16"/>
              </w:rPr>
            </w:pPr>
            <w:r w:rsidRPr="0081536C">
              <w:rPr>
                <w:rFonts w:ascii="Calibri" w:hAnsi="Calibri"/>
                <w:b/>
                <w:bCs/>
                <w:sz w:val="16"/>
                <w:szCs w:val="16"/>
              </w:rPr>
              <w:t>Dome</w:t>
            </w:r>
            <w:r w:rsidR="0081536C" w:rsidRPr="0081536C">
              <w:rPr>
                <w:rFonts w:ascii="Calibri" w:hAnsi="Calibri"/>
                <w:b/>
                <w:bCs/>
                <w:sz w:val="16"/>
                <w:szCs w:val="16"/>
              </w:rPr>
              <w:t>stic supply quantity (1000 ton</w:t>
            </w:r>
            <w:r w:rsidRPr="0081536C">
              <w:rPr>
                <w:rFonts w:ascii="Calibri" w:hAnsi="Calibri"/>
                <w:b/>
                <w:bCs/>
                <w:sz w:val="16"/>
                <w:szCs w:val="16"/>
              </w:rPr>
              <w:t>s)</w:t>
            </w:r>
          </w:p>
        </w:tc>
        <w:tc>
          <w:tcPr>
            <w:tcW w:w="625" w:type="dxa"/>
            <w:tcBorders>
              <w:top w:val="nil"/>
              <w:left w:val="nil"/>
              <w:bottom w:val="nil"/>
              <w:right w:val="nil"/>
            </w:tcBorders>
            <w:shd w:val="clear" w:color="auto" w:fill="auto"/>
            <w:vAlign w:val="bottom"/>
          </w:tcPr>
          <w:p w14:paraId="08F88799" w14:textId="06A80C53" w:rsidR="00C311C4" w:rsidRPr="0081536C" w:rsidRDefault="00C311C4" w:rsidP="00C36A8E">
            <w:pPr>
              <w:rPr>
                <w:rFonts w:ascii="Calibri" w:hAnsi="Calibri"/>
                <w:b/>
                <w:bCs/>
                <w:sz w:val="16"/>
                <w:szCs w:val="16"/>
              </w:rPr>
            </w:pPr>
            <w:r w:rsidRPr="0081536C">
              <w:rPr>
                <w:rFonts w:ascii="Calibri" w:hAnsi="Calibri"/>
                <w:b/>
                <w:bCs/>
                <w:sz w:val="16"/>
                <w:szCs w:val="16"/>
              </w:rPr>
              <w:t>Feed (10</w:t>
            </w:r>
            <w:r w:rsidR="0081536C" w:rsidRPr="0081536C">
              <w:rPr>
                <w:rFonts w:ascii="Calibri" w:hAnsi="Calibri"/>
                <w:b/>
                <w:bCs/>
                <w:sz w:val="16"/>
                <w:szCs w:val="16"/>
              </w:rPr>
              <w:t>00 ton</w:t>
            </w:r>
            <w:r w:rsidRPr="0081536C">
              <w:rPr>
                <w:rFonts w:ascii="Calibri" w:hAnsi="Calibri"/>
                <w:b/>
                <w:bCs/>
                <w:sz w:val="16"/>
                <w:szCs w:val="16"/>
              </w:rPr>
              <w:t>s)</w:t>
            </w:r>
          </w:p>
        </w:tc>
        <w:tc>
          <w:tcPr>
            <w:tcW w:w="674" w:type="dxa"/>
            <w:tcBorders>
              <w:top w:val="nil"/>
              <w:left w:val="nil"/>
              <w:bottom w:val="nil"/>
              <w:right w:val="nil"/>
            </w:tcBorders>
            <w:shd w:val="clear" w:color="auto" w:fill="auto"/>
            <w:vAlign w:val="bottom"/>
          </w:tcPr>
          <w:p w14:paraId="4176BE7E" w14:textId="6B40AC70" w:rsidR="00C311C4" w:rsidRPr="0081536C" w:rsidRDefault="0081536C" w:rsidP="00C36A8E">
            <w:pPr>
              <w:rPr>
                <w:rFonts w:ascii="Calibri" w:hAnsi="Calibri"/>
                <w:b/>
                <w:bCs/>
                <w:sz w:val="16"/>
                <w:szCs w:val="16"/>
              </w:rPr>
            </w:pPr>
            <w:r w:rsidRPr="0081536C">
              <w:rPr>
                <w:rFonts w:ascii="Calibri" w:hAnsi="Calibri"/>
                <w:b/>
                <w:bCs/>
                <w:sz w:val="16"/>
                <w:szCs w:val="16"/>
              </w:rPr>
              <w:t>Seed (1000 ton</w:t>
            </w:r>
            <w:r w:rsidR="00C311C4" w:rsidRPr="0081536C">
              <w:rPr>
                <w:rFonts w:ascii="Calibri" w:hAnsi="Calibri"/>
                <w:b/>
                <w:bCs/>
                <w:sz w:val="16"/>
                <w:szCs w:val="16"/>
              </w:rPr>
              <w:t>s)</w:t>
            </w:r>
          </w:p>
        </w:tc>
        <w:tc>
          <w:tcPr>
            <w:tcW w:w="993" w:type="dxa"/>
            <w:tcBorders>
              <w:top w:val="nil"/>
              <w:left w:val="nil"/>
              <w:bottom w:val="nil"/>
              <w:right w:val="nil"/>
            </w:tcBorders>
            <w:shd w:val="clear" w:color="auto" w:fill="auto"/>
            <w:vAlign w:val="bottom"/>
          </w:tcPr>
          <w:p w14:paraId="0376AD50" w14:textId="2596DD11" w:rsidR="00C311C4" w:rsidRPr="0081536C" w:rsidRDefault="0081536C" w:rsidP="00C36A8E">
            <w:pPr>
              <w:rPr>
                <w:rFonts w:ascii="Calibri" w:hAnsi="Calibri"/>
                <w:b/>
                <w:bCs/>
                <w:sz w:val="16"/>
                <w:szCs w:val="16"/>
              </w:rPr>
            </w:pPr>
            <w:r w:rsidRPr="0081536C">
              <w:rPr>
                <w:rFonts w:ascii="Calibri" w:hAnsi="Calibri"/>
                <w:b/>
                <w:bCs/>
                <w:sz w:val="16"/>
                <w:szCs w:val="16"/>
              </w:rPr>
              <w:t>Processing (1000 ton</w:t>
            </w:r>
            <w:r w:rsidR="00C311C4" w:rsidRPr="0081536C">
              <w:rPr>
                <w:rFonts w:ascii="Calibri" w:hAnsi="Calibri"/>
                <w:b/>
                <w:bCs/>
                <w:sz w:val="16"/>
                <w:szCs w:val="16"/>
              </w:rPr>
              <w:t>s)</w:t>
            </w:r>
          </w:p>
        </w:tc>
        <w:tc>
          <w:tcPr>
            <w:tcW w:w="616" w:type="dxa"/>
            <w:tcBorders>
              <w:top w:val="nil"/>
              <w:left w:val="nil"/>
              <w:bottom w:val="nil"/>
              <w:right w:val="nil"/>
            </w:tcBorders>
            <w:shd w:val="clear" w:color="auto" w:fill="auto"/>
            <w:vAlign w:val="bottom"/>
          </w:tcPr>
          <w:p w14:paraId="7AE378C0" w14:textId="7B5B5830" w:rsidR="00C311C4" w:rsidRPr="0081536C" w:rsidRDefault="0081536C" w:rsidP="00C36A8E">
            <w:pPr>
              <w:rPr>
                <w:rFonts w:ascii="Calibri" w:hAnsi="Calibri"/>
                <w:b/>
                <w:bCs/>
                <w:sz w:val="16"/>
                <w:szCs w:val="16"/>
              </w:rPr>
            </w:pPr>
            <w:r w:rsidRPr="0081536C">
              <w:rPr>
                <w:rFonts w:ascii="Calibri" w:hAnsi="Calibri"/>
                <w:b/>
                <w:bCs/>
                <w:sz w:val="16"/>
                <w:szCs w:val="16"/>
              </w:rPr>
              <w:t>Food (1000 ton</w:t>
            </w:r>
            <w:r w:rsidR="00C311C4" w:rsidRPr="0081536C">
              <w:rPr>
                <w:rFonts w:ascii="Calibri" w:hAnsi="Calibri"/>
                <w:b/>
                <w:bCs/>
                <w:sz w:val="16"/>
                <w:szCs w:val="16"/>
              </w:rPr>
              <w:t>s)</w:t>
            </w:r>
          </w:p>
        </w:tc>
        <w:tc>
          <w:tcPr>
            <w:tcW w:w="1134" w:type="dxa"/>
            <w:tcBorders>
              <w:top w:val="nil"/>
              <w:left w:val="nil"/>
              <w:bottom w:val="nil"/>
              <w:right w:val="nil"/>
            </w:tcBorders>
            <w:vAlign w:val="bottom"/>
          </w:tcPr>
          <w:p w14:paraId="0C64117C" w14:textId="64B61BA2" w:rsidR="00C311C4" w:rsidRPr="0081536C" w:rsidRDefault="00C311C4" w:rsidP="00C36A8E">
            <w:pPr>
              <w:rPr>
                <w:rFonts w:ascii="Calibri" w:hAnsi="Calibri"/>
                <w:b/>
                <w:bCs/>
                <w:sz w:val="16"/>
                <w:szCs w:val="16"/>
              </w:rPr>
            </w:pPr>
            <w:r w:rsidRPr="0081536C">
              <w:rPr>
                <w:rFonts w:ascii="Calibri" w:hAnsi="Calibri"/>
                <w:b/>
                <w:bCs/>
                <w:sz w:val="16"/>
                <w:szCs w:val="16"/>
              </w:rPr>
              <w:t xml:space="preserve">Domestic consumption quantity </w:t>
            </w:r>
            <w:r w:rsidR="0081536C" w:rsidRPr="0081536C">
              <w:rPr>
                <w:rFonts w:ascii="Calibri" w:hAnsi="Calibri"/>
                <w:b/>
                <w:bCs/>
                <w:sz w:val="16"/>
                <w:szCs w:val="16"/>
              </w:rPr>
              <w:t>(1000 ton</w:t>
            </w:r>
            <w:r w:rsidRPr="0081536C">
              <w:rPr>
                <w:rFonts w:ascii="Calibri" w:hAnsi="Calibri"/>
                <w:b/>
                <w:bCs/>
                <w:sz w:val="16"/>
                <w:szCs w:val="16"/>
              </w:rPr>
              <w:t>s)</w:t>
            </w:r>
          </w:p>
        </w:tc>
      </w:tr>
      <w:tr w:rsidR="0081536C" w:rsidRPr="0081536C" w14:paraId="63518095" w14:textId="75FF81F5" w:rsidTr="0081536C">
        <w:trPr>
          <w:trHeight w:val="260"/>
        </w:trPr>
        <w:tc>
          <w:tcPr>
            <w:tcW w:w="990" w:type="dxa"/>
            <w:tcBorders>
              <w:top w:val="nil"/>
              <w:left w:val="nil"/>
              <w:bottom w:val="nil"/>
              <w:right w:val="nil"/>
            </w:tcBorders>
            <w:shd w:val="clear" w:color="auto" w:fill="auto"/>
            <w:noWrap/>
            <w:vAlign w:val="bottom"/>
          </w:tcPr>
          <w:p w14:paraId="215FC4DE" w14:textId="77777777" w:rsidR="00C311C4" w:rsidRPr="0081536C" w:rsidRDefault="00C311C4" w:rsidP="00C36A8E">
            <w:pPr>
              <w:rPr>
                <w:rFonts w:ascii="Calibri" w:hAnsi="Calibri"/>
                <w:sz w:val="16"/>
                <w:szCs w:val="16"/>
              </w:rPr>
            </w:pPr>
            <w:r w:rsidRPr="0081536C">
              <w:rPr>
                <w:rFonts w:ascii="Calibri" w:hAnsi="Calibri"/>
                <w:sz w:val="16"/>
                <w:szCs w:val="16"/>
              </w:rPr>
              <w:t>Cereals –</w:t>
            </w:r>
          </w:p>
          <w:p w14:paraId="72104D9D" w14:textId="77777777" w:rsidR="00C311C4" w:rsidRPr="0081536C" w:rsidRDefault="00C311C4" w:rsidP="00C36A8E">
            <w:pPr>
              <w:rPr>
                <w:rFonts w:ascii="Calibri" w:hAnsi="Calibri"/>
                <w:sz w:val="16"/>
                <w:szCs w:val="16"/>
              </w:rPr>
            </w:pPr>
            <w:r w:rsidRPr="0081536C">
              <w:rPr>
                <w:rFonts w:ascii="Calibri" w:hAnsi="Calibri"/>
                <w:sz w:val="16"/>
                <w:szCs w:val="16"/>
              </w:rPr>
              <w:t xml:space="preserve"> Excluding Beer +</w:t>
            </w:r>
          </w:p>
        </w:tc>
        <w:tc>
          <w:tcPr>
            <w:tcW w:w="990" w:type="dxa"/>
            <w:tcBorders>
              <w:top w:val="nil"/>
              <w:left w:val="nil"/>
              <w:bottom w:val="nil"/>
              <w:right w:val="nil"/>
            </w:tcBorders>
            <w:shd w:val="clear" w:color="auto" w:fill="auto"/>
            <w:noWrap/>
            <w:vAlign w:val="bottom"/>
          </w:tcPr>
          <w:p w14:paraId="767E7F7C" w14:textId="77777777" w:rsidR="00C311C4" w:rsidRPr="0081536C" w:rsidRDefault="00C311C4" w:rsidP="00C36A8E">
            <w:pPr>
              <w:jc w:val="right"/>
              <w:rPr>
                <w:rFonts w:ascii="Calibri" w:hAnsi="Calibri"/>
                <w:color w:val="800000"/>
                <w:sz w:val="16"/>
                <w:szCs w:val="16"/>
              </w:rPr>
            </w:pPr>
            <w:r w:rsidRPr="0081536C">
              <w:rPr>
                <w:rFonts w:ascii="Calibri" w:hAnsi="Calibri"/>
                <w:color w:val="800000"/>
                <w:sz w:val="16"/>
                <w:szCs w:val="16"/>
              </w:rPr>
              <w:t>1289</w:t>
            </w:r>
          </w:p>
        </w:tc>
        <w:tc>
          <w:tcPr>
            <w:tcW w:w="900" w:type="dxa"/>
            <w:tcBorders>
              <w:top w:val="nil"/>
              <w:left w:val="nil"/>
              <w:bottom w:val="nil"/>
              <w:right w:val="nil"/>
            </w:tcBorders>
            <w:shd w:val="clear" w:color="auto" w:fill="auto"/>
            <w:noWrap/>
            <w:vAlign w:val="bottom"/>
          </w:tcPr>
          <w:p w14:paraId="6DEDB733" w14:textId="77777777" w:rsidR="00C311C4" w:rsidRPr="0081536C" w:rsidRDefault="00C311C4" w:rsidP="00C36A8E">
            <w:pPr>
              <w:jc w:val="right"/>
              <w:rPr>
                <w:rFonts w:ascii="Calibri" w:hAnsi="Calibri"/>
                <w:color w:val="800000"/>
                <w:sz w:val="16"/>
                <w:szCs w:val="16"/>
              </w:rPr>
            </w:pPr>
            <w:r w:rsidRPr="0081536C">
              <w:rPr>
                <w:rFonts w:ascii="Calibri" w:hAnsi="Calibri"/>
                <w:color w:val="800000"/>
                <w:sz w:val="16"/>
                <w:szCs w:val="16"/>
              </w:rPr>
              <w:t>189</w:t>
            </w:r>
          </w:p>
        </w:tc>
        <w:tc>
          <w:tcPr>
            <w:tcW w:w="900" w:type="dxa"/>
            <w:tcBorders>
              <w:top w:val="nil"/>
              <w:left w:val="nil"/>
              <w:bottom w:val="nil"/>
              <w:right w:val="nil"/>
            </w:tcBorders>
            <w:shd w:val="clear" w:color="auto" w:fill="auto"/>
            <w:noWrap/>
            <w:vAlign w:val="bottom"/>
          </w:tcPr>
          <w:p w14:paraId="539A02CE" w14:textId="77777777" w:rsidR="00C311C4" w:rsidRPr="0081536C" w:rsidRDefault="00C311C4" w:rsidP="00C36A8E">
            <w:pPr>
              <w:jc w:val="right"/>
              <w:rPr>
                <w:rFonts w:ascii="Calibri" w:hAnsi="Calibri"/>
                <w:color w:val="800000"/>
                <w:sz w:val="16"/>
                <w:szCs w:val="16"/>
              </w:rPr>
            </w:pPr>
            <w:r w:rsidRPr="0081536C">
              <w:rPr>
                <w:rFonts w:ascii="Calibri" w:hAnsi="Calibri"/>
                <w:color w:val="800000"/>
                <w:sz w:val="16"/>
                <w:szCs w:val="16"/>
              </w:rPr>
              <w:t>725</w:t>
            </w:r>
          </w:p>
        </w:tc>
        <w:tc>
          <w:tcPr>
            <w:tcW w:w="814" w:type="dxa"/>
            <w:tcBorders>
              <w:top w:val="nil"/>
              <w:left w:val="nil"/>
              <w:bottom w:val="nil"/>
              <w:right w:val="nil"/>
            </w:tcBorders>
            <w:shd w:val="clear" w:color="auto" w:fill="auto"/>
            <w:noWrap/>
            <w:vAlign w:val="bottom"/>
          </w:tcPr>
          <w:p w14:paraId="566A8C99" w14:textId="77777777" w:rsidR="00C311C4" w:rsidRPr="0081536C" w:rsidRDefault="00C311C4" w:rsidP="00C36A8E">
            <w:pPr>
              <w:jc w:val="right"/>
              <w:rPr>
                <w:rFonts w:ascii="Calibri" w:hAnsi="Calibri"/>
                <w:color w:val="800000"/>
                <w:sz w:val="16"/>
                <w:szCs w:val="16"/>
              </w:rPr>
            </w:pPr>
            <w:r w:rsidRPr="0081536C">
              <w:rPr>
                <w:rFonts w:ascii="Calibri" w:hAnsi="Calibri"/>
                <w:color w:val="800000"/>
                <w:sz w:val="16"/>
                <w:szCs w:val="16"/>
              </w:rPr>
              <w:t>3</w:t>
            </w:r>
          </w:p>
        </w:tc>
        <w:tc>
          <w:tcPr>
            <w:tcW w:w="900" w:type="dxa"/>
            <w:tcBorders>
              <w:top w:val="nil"/>
              <w:left w:val="nil"/>
              <w:bottom w:val="nil"/>
              <w:right w:val="nil"/>
            </w:tcBorders>
            <w:shd w:val="clear" w:color="auto" w:fill="auto"/>
            <w:noWrap/>
            <w:vAlign w:val="bottom"/>
          </w:tcPr>
          <w:p w14:paraId="50A0BBC6" w14:textId="77777777" w:rsidR="00C311C4" w:rsidRPr="0081536C" w:rsidRDefault="00C311C4" w:rsidP="00C36A8E">
            <w:pPr>
              <w:jc w:val="right"/>
              <w:rPr>
                <w:rFonts w:ascii="Calibri" w:hAnsi="Calibri"/>
                <w:b/>
                <w:sz w:val="16"/>
                <w:szCs w:val="16"/>
              </w:rPr>
            </w:pPr>
            <w:r w:rsidRPr="0081536C">
              <w:rPr>
                <w:rFonts w:ascii="Calibri" w:hAnsi="Calibri"/>
                <w:b/>
                <w:sz w:val="16"/>
                <w:szCs w:val="16"/>
              </w:rPr>
              <w:t>2199</w:t>
            </w:r>
          </w:p>
        </w:tc>
        <w:tc>
          <w:tcPr>
            <w:tcW w:w="625" w:type="dxa"/>
            <w:tcBorders>
              <w:top w:val="nil"/>
              <w:left w:val="nil"/>
              <w:bottom w:val="nil"/>
              <w:right w:val="nil"/>
            </w:tcBorders>
            <w:shd w:val="clear" w:color="auto" w:fill="auto"/>
            <w:noWrap/>
            <w:vAlign w:val="bottom"/>
          </w:tcPr>
          <w:p w14:paraId="41506DE0" w14:textId="77777777" w:rsidR="00C311C4" w:rsidRPr="0081536C" w:rsidRDefault="00C311C4" w:rsidP="00C36A8E">
            <w:pPr>
              <w:jc w:val="right"/>
              <w:rPr>
                <w:rFonts w:ascii="Calibri" w:hAnsi="Calibri"/>
                <w:color w:val="000090"/>
                <w:sz w:val="16"/>
                <w:szCs w:val="16"/>
              </w:rPr>
            </w:pPr>
            <w:r w:rsidRPr="0081536C">
              <w:rPr>
                <w:rFonts w:ascii="Calibri" w:hAnsi="Calibri"/>
                <w:color w:val="000090"/>
                <w:sz w:val="16"/>
                <w:szCs w:val="16"/>
              </w:rPr>
              <w:t>152</w:t>
            </w:r>
          </w:p>
        </w:tc>
        <w:tc>
          <w:tcPr>
            <w:tcW w:w="674" w:type="dxa"/>
            <w:tcBorders>
              <w:top w:val="nil"/>
              <w:left w:val="nil"/>
              <w:bottom w:val="nil"/>
              <w:right w:val="nil"/>
            </w:tcBorders>
            <w:shd w:val="clear" w:color="auto" w:fill="auto"/>
            <w:noWrap/>
            <w:vAlign w:val="bottom"/>
          </w:tcPr>
          <w:p w14:paraId="45940723" w14:textId="77777777" w:rsidR="00C311C4" w:rsidRPr="0081536C" w:rsidRDefault="00C311C4" w:rsidP="00C36A8E">
            <w:pPr>
              <w:jc w:val="right"/>
              <w:rPr>
                <w:rFonts w:ascii="Calibri" w:hAnsi="Calibri"/>
                <w:color w:val="000090"/>
                <w:sz w:val="16"/>
                <w:szCs w:val="16"/>
              </w:rPr>
            </w:pPr>
            <w:r w:rsidRPr="0081536C">
              <w:rPr>
                <w:rFonts w:ascii="Calibri" w:hAnsi="Calibri"/>
                <w:color w:val="000090"/>
                <w:sz w:val="16"/>
                <w:szCs w:val="16"/>
              </w:rPr>
              <w:t>40</w:t>
            </w:r>
          </w:p>
        </w:tc>
        <w:tc>
          <w:tcPr>
            <w:tcW w:w="993" w:type="dxa"/>
            <w:tcBorders>
              <w:top w:val="nil"/>
              <w:left w:val="nil"/>
              <w:bottom w:val="nil"/>
              <w:right w:val="nil"/>
            </w:tcBorders>
            <w:shd w:val="clear" w:color="auto" w:fill="auto"/>
            <w:noWrap/>
            <w:vAlign w:val="bottom"/>
          </w:tcPr>
          <w:p w14:paraId="5AE29E9B" w14:textId="77777777" w:rsidR="00C311C4" w:rsidRPr="0081536C" w:rsidRDefault="00C311C4" w:rsidP="00C36A8E">
            <w:pPr>
              <w:jc w:val="right"/>
              <w:rPr>
                <w:rFonts w:ascii="Calibri" w:hAnsi="Calibri"/>
                <w:color w:val="000090"/>
                <w:sz w:val="16"/>
                <w:szCs w:val="16"/>
              </w:rPr>
            </w:pPr>
            <w:r w:rsidRPr="0081536C">
              <w:rPr>
                <w:rFonts w:ascii="Calibri" w:hAnsi="Calibri"/>
                <w:color w:val="000090"/>
                <w:sz w:val="16"/>
                <w:szCs w:val="16"/>
              </w:rPr>
              <w:t>32</w:t>
            </w:r>
          </w:p>
        </w:tc>
        <w:tc>
          <w:tcPr>
            <w:tcW w:w="616" w:type="dxa"/>
            <w:tcBorders>
              <w:top w:val="nil"/>
              <w:left w:val="nil"/>
              <w:bottom w:val="nil"/>
              <w:right w:val="nil"/>
            </w:tcBorders>
            <w:shd w:val="clear" w:color="auto" w:fill="auto"/>
            <w:noWrap/>
            <w:vAlign w:val="bottom"/>
          </w:tcPr>
          <w:p w14:paraId="42EB98CB" w14:textId="77777777" w:rsidR="00C311C4" w:rsidRPr="0081536C" w:rsidRDefault="00C311C4" w:rsidP="00C36A8E">
            <w:pPr>
              <w:jc w:val="right"/>
              <w:rPr>
                <w:rFonts w:ascii="Calibri" w:hAnsi="Calibri"/>
                <w:color w:val="000090"/>
                <w:sz w:val="16"/>
                <w:szCs w:val="16"/>
              </w:rPr>
            </w:pPr>
            <w:r w:rsidRPr="0081536C">
              <w:rPr>
                <w:rFonts w:ascii="Calibri" w:hAnsi="Calibri"/>
                <w:color w:val="000090"/>
                <w:sz w:val="16"/>
                <w:szCs w:val="16"/>
              </w:rPr>
              <w:t>1813</w:t>
            </w:r>
          </w:p>
        </w:tc>
        <w:tc>
          <w:tcPr>
            <w:tcW w:w="1134" w:type="dxa"/>
            <w:tcBorders>
              <w:top w:val="nil"/>
              <w:left w:val="nil"/>
              <w:bottom w:val="nil"/>
              <w:right w:val="nil"/>
            </w:tcBorders>
            <w:vAlign w:val="bottom"/>
          </w:tcPr>
          <w:p w14:paraId="662991E2" w14:textId="43737868" w:rsidR="00C311C4" w:rsidRPr="0081536C" w:rsidRDefault="00C311C4" w:rsidP="00C36A8E">
            <w:pPr>
              <w:jc w:val="right"/>
              <w:rPr>
                <w:rFonts w:ascii="Calibri" w:hAnsi="Calibri"/>
                <w:color w:val="000090"/>
                <w:sz w:val="16"/>
                <w:szCs w:val="16"/>
              </w:rPr>
            </w:pPr>
            <w:r w:rsidRPr="0081536C">
              <w:rPr>
                <w:rFonts w:ascii="Calibri" w:hAnsi="Calibri"/>
                <w:color w:val="000090"/>
                <w:sz w:val="16"/>
                <w:szCs w:val="16"/>
              </w:rPr>
              <w:t>2038</w:t>
            </w:r>
          </w:p>
        </w:tc>
      </w:tr>
      <w:tr w:rsidR="0081536C" w:rsidRPr="0081536C" w14:paraId="62BA30E0" w14:textId="63CE6AEF" w:rsidTr="0081536C">
        <w:trPr>
          <w:trHeight w:val="260"/>
        </w:trPr>
        <w:tc>
          <w:tcPr>
            <w:tcW w:w="990" w:type="dxa"/>
            <w:tcBorders>
              <w:top w:val="nil"/>
              <w:left w:val="nil"/>
              <w:bottom w:val="nil"/>
              <w:right w:val="nil"/>
            </w:tcBorders>
            <w:shd w:val="clear" w:color="auto" w:fill="auto"/>
            <w:noWrap/>
            <w:vAlign w:val="bottom"/>
          </w:tcPr>
          <w:p w14:paraId="48BEAFFE" w14:textId="77777777" w:rsidR="00C311C4" w:rsidRPr="0081536C" w:rsidRDefault="00C311C4" w:rsidP="00C36A8E">
            <w:pPr>
              <w:rPr>
                <w:rFonts w:ascii="Calibri" w:hAnsi="Calibri"/>
                <w:sz w:val="16"/>
                <w:szCs w:val="16"/>
              </w:rPr>
            </w:pPr>
            <w:r w:rsidRPr="0081536C">
              <w:rPr>
                <w:rFonts w:ascii="Calibri" w:hAnsi="Calibri"/>
                <w:sz w:val="16"/>
                <w:szCs w:val="16"/>
              </w:rPr>
              <w:t>Wheat</w:t>
            </w:r>
          </w:p>
        </w:tc>
        <w:tc>
          <w:tcPr>
            <w:tcW w:w="990" w:type="dxa"/>
            <w:tcBorders>
              <w:top w:val="nil"/>
              <w:left w:val="nil"/>
              <w:bottom w:val="nil"/>
              <w:right w:val="nil"/>
            </w:tcBorders>
            <w:shd w:val="clear" w:color="auto" w:fill="auto"/>
            <w:noWrap/>
            <w:vAlign w:val="bottom"/>
          </w:tcPr>
          <w:p w14:paraId="56727146" w14:textId="77777777" w:rsidR="00C311C4" w:rsidRPr="0081536C" w:rsidRDefault="00C311C4" w:rsidP="00C36A8E">
            <w:pPr>
              <w:jc w:val="right"/>
              <w:rPr>
                <w:rFonts w:ascii="Calibri" w:hAnsi="Calibri"/>
                <w:sz w:val="16"/>
                <w:szCs w:val="16"/>
              </w:rPr>
            </w:pPr>
            <w:r w:rsidRPr="0081536C">
              <w:rPr>
                <w:rFonts w:ascii="Calibri" w:hAnsi="Calibri"/>
                <w:sz w:val="16"/>
                <w:szCs w:val="16"/>
              </w:rPr>
              <w:t>2</w:t>
            </w:r>
          </w:p>
        </w:tc>
        <w:tc>
          <w:tcPr>
            <w:tcW w:w="900" w:type="dxa"/>
            <w:tcBorders>
              <w:top w:val="nil"/>
              <w:left w:val="nil"/>
              <w:bottom w:val="nil"/>
              <w:right w:val="nil"/>
            </w:tcBorders>
            <w:shd w:val="clear" w:color="auto" w:fill="auto"/>
            <w:noWrap/>
            <w:vAlign w:val="bottom"/>
          </w:tcPr>
          <w:p w14:paraId="7F7067A3" w14:textId="77777777" w:rsidR="00C311C4" w:rsidRPr="0081536C" w:rsidRDefault="00C311C4" w:rsidP="00C36A8E">
            <w:pPr>
              <w:jc w:val="right"/>
              <w:rPr>
                <w:rFonts w:ascii="Calibri" w:hAnsi="Calibri"/>
                <w:sz w:val="16"/>
                <w:szCs w:val="16"/>
              </w:rPr>
            </w:pPr>
            <w:r w:rsidRPr="0081536C">
              <w:rPr>
                <w:rFonts w:ascii="Calibri" w:hAnsi="Calibri"/>
                <w:sz w:val="16"/>
                <w:szCs w:val="16"/>
              </w:rPr>
              <w:t>41</w:t>
            </w:r>
          </w:p>
        </w:tc>
        <w:tc>
          <w:tcPr>
            <w:tcW w:w="900" w:type="dxa"/>
            <w:tcBorders>
              <w:top w:val="nil"/>
              <w:left w:val="nil"/>
              <w:bottom w:val="nil"/>
              <w:right w:val="nil"/>
            </w:tcBorders>
            <w:shd w:val="clear" w:color="auto" w:fill="auto"/>
            <w:noWrap/>
            <w:vAlign w:val="bottom"/>
          </w:tcPr>
          <w:p w14:paraId="1644D6EC"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814" w:type="dxa"/>
            <w:tcBorders>
              <w:top w:val="nil"/>
              <w:left w:val="nil"/>
              <w:bottom w:val="nil"/>
              <w:right w:val="nil"/>
            </w:tcBorders>
            <w:shd w:val="clear" w:color="auto" w:fill="auto"/>
            <w:noWrap/>
            <w:vAlign w:val="bottom"/>
          </w:tcPr>
          <w:p w14:paraId="69F5D534" w14:textId="77777777" w:rsidR="00C311C4" w:rsidRPr="0081536C" w:rsidRDefault="00C311C4" w:rsidP="00C36A8E">
            <w:pPr>
              <w:jc w:val="right"/>
              <w:rPr>
                <w:rFonts w:ascii="Calibri" w:hAnsi="Calibri"/>
                <w:sz w:val="16"/>
                <w:szCs w:val="16"/>
              </w:rPr>
            </w:pPr>
            <w:r w:rsidRPr="0081536C">
              <w:rPr>
                <w:rFonts w:ascii="Calibri" w:hAnsi="Calibri"/>
                <w:sz w:val="16"/>
                <w:szCs w:val="16"/>
              </w:rPr>
              <w:t>2</w:t>
            </w:r>
          </w:p>
        </w:tc>
        <w:tc>
          <w:tcPr>
            <w:tcW w:w="900" w:type="dxa"/>
            <w:tcBorders>
              <w:top w:val="nil"/>
              <w:left w:val="nil"/>
              <w:bottom w:val="nil"/>
              <w:right w:val="nil"/>
            </w:tcBorders>
            <w:shd w:val="clear" w:color="auto" w:fill="auto"/>
            <w:noWrap/>
            <w:vAlign w:val="bottom"/>
          </w:tcPr>
          <w:p w14:paraId="170111F2" w14:textId="77777777" w:rsidR="00C311C4" w:rsidRPr="0081536C" w:rsidRDefault="00C311C4" w:rsidP="00C36A8E">
            <w:pPr>
              <w:jc w:val="right"/>
              <w:rPr>
                <w:rFonts w:ascii="Calibri" w:hAnsi="Calibri"/>
                <w:sz w:val="16"/>
                <w:szCs w:val="16"/>
              </w:rPr>
            </w:pPr>
            <w:r w:rsidRPr="0081536C">
              <w:rPr>
                <w:rFonts w:ascii="Calibri" w:hAnsi="Calibri"/>
                <w:sz w:val="16"/>
                <w:szCs w:val="16"/>
              </w:rPr>
              <w:t>40</w:t>
            </w:r>
          </w:p>
        </w:tc>
        <w:tc>
          <w:tcPr>
            <w:tcW w:w="625" w:type="dxa"/>
            <w:tcBorders>
              <w:top w:val="nil"/>
              <w:left w:val="nil"/>
              <w:bottom w:val="nil"/>
              <w:right w:val="nil"/>
            </w:tcBorders>
            <w:shd w:val="clear" w:color="auto" w:fill="auto"/>
            <w:noWrap/>
            <w:vAlign w:val="bottom"/>
          </w:tcPr>
          <w:p w14:paraId="1F1A3387"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74" w:type="dxa"/>
            <w:tcBorders>
              <w:top w:val="nil"/>
              <w:left w:val="nil"/>
              <w:bottom w:val="nil"/>
              <w:right w:val="nil"/>
            </w:tcBorders>
            <w:shd w:val="clear" w:color="auto" w:fill="auto"/>
            <w:noWrap/>
            <w:vAlign w:val="bottom"/>
          </w:tcPr>
          <w:p w14:paraId="4B3787E0"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93" w:type="dxa"/>
            <w:tcBorders>
              <w:top w:val="nil"/>
              <w:left w:val="nil"/>
              <w:bottom w:val="nil"/>
              <w:right w:val="nil"/>
            </w:tcBorders>
            <w:shd w:val="clear" w:color="auto" w:fill="auto"/>
            <w:noWrap/>
            <w:vAlign w:val="bottom"/>
          </w:tcPr>
          <w:p w14:paraId="2C64814E"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16" w:type="dxa"/>
            <w:tcBorders>
              <w:top w:val="nil"/>
              <w:left w:val="nil"/>
              <w:bottom w:val="nil"/>
              <w:right w:val="nil"/>
            </w:tcBorders>
            <w:shd w:val="clear" w:color="auto" w:fill="auto"/>
            <w:noWrap/>
            <w:vAlign w:val="bottom"/>
          </w:tcPr>
          <w:p w14:paraId="26C15A84" w14:textId="77777777" w:rsidR="00C311C4" w:rsidRPr="0081536C" w:rsidRDefault="00C311C4" w:rsidP="00C36A8E">
            <w:pPr>
              <w:jc w:val="right"/>
              <w:rPr>
                <w:rFonts w:ascii="Calibri" w:hAnsi="Calibri"/>
                <w:sz w:val="16"/>
                <w:szCs w:val="16"/>
              </w:rPr>
            </w:pPr>
            <w:r w:rsidRPr="0081536C">
              <w:rPr>
                <w:rFonts w:ascii="Calibri" w:hAnsi="Calibri"/>
                <w:sz w:val="16"/>
                <w:szCs w:val="16"/>
              </w:rPr>
              <w:t>39</w:t>
            </w:r>
          </w:p>
        </w:tc>
        <w:tc>
          <w:tcPr>
            <w:tcW w:w="1134" w:type="dxa"/>
            <w:tcBorders>
              <w:top w:val="nil"/>
              <w:left w:val="nil"/>
              <w:bottom w:val="nil"/>
              <w:right w:val="nil"/>
            </w:tcBorders>
            <w:vAlign w:val="bottom"/>
          </w:tcPr>
          <w:p w14:paraId="00E938E1" w14:textId="22DEB45B" w:rsidR="00C311C4" w:rsidRPr="0081536C" w:rsidRDefault="00C311C4" w:rsidP="00C36A8E">
            <w:pPr>
              <w:jc w:val="right"/>
              <w:rPr>
                <w:rFonts w:ascii="Calibri" w:hAnsi="Calibri"/>
                <w:sz w:val="16"/>
                <w:szCs w:val="16"/>
              </w:rPr>
            </w:pPr>
            <w:r w:rsidRPr="0081536C">
              <w:rPr>
                <w:rFonts w:ascii="Calibri" w:hAnsi="Calibri"/>
                <w:sz w:val="16"/>
                <w:szCs w:val="16"/>
              </w:rPr>
              <w:t>39</w:t>
            </w:r>
          </w:p>
        </w:tc>
      </w:tr>
      <w:tr w:rsidR="0081536C" w:rsidRPr="0081536C" w14:paraId="3DAF4633" w14:textId="0E37D25A" w:rsidTr="0081536C">
        <w:trPr>
          <w:trHeight w:val="260"/>
        </w:trPr>
        <w:tc>
          <w:tcPr>
            <w:tcW w:w="990" w:type="dxa"/>
            <w:tcBorders>
              <w:top w:val="nil"/>
              <w:left w:val="nil"/>
              <w:bottom w:val="nil"/>
              <w:right w:val="nil"/>
            </w:tcBorders>
            <w:shd w:val="clear" w:color="auto" w:fill="auto"/>
            <w:noWrap/>
            <w:vAlign w:val="bottom"/>
          </w:tcPr>
          <w:p w14:paraId="1BF1E0B0" w14:textId="77777777" w:rsidR="00C311C4" w:rsidRPr="0081536C" w:rsidRDefault="00C311C4" w:rsidP="00C36A8E">
            <w:pPr>
              <w:rPr>
                <w:rFonts w:ascii="Calibri" w:hAnsi="Calibri"/>
                <w:sz w:val="16"/>
                <w:szCs w:val="16"/>
              </w:rPr>
            </w:pPr>
            <w:r w:rsidRPr="0081536C">
              <w:rPr>
                <w:rFonts w:ascii="Calibri" w:hAnsi="Calibri"/>
                <w:sz w:val="16"/>
                <w:szCs w:val="16"/>
              </w:rPr>
              <w:t xml:space="preserve">Rice </w:t>
            </w:r>
          </w:p>
          <w:p w14:paraId="29457537" w14:textId="77777777" w:rsidR="00C311C4" w:rsidRPr="0081536C" w:rsidRDefault="00C311C4" w:rsidP="00C36A8E">
            <w:pPr>
              <w:rPr>
                <w:rFonts w:ascii="Calibri" w:hAnsi="Calibri"/>
                <w:sz w:val="16"/>
                <w:szCs w:val="16"/>
              </w:rPr>
            </w:pPr>
            <w:r w:rsidRPr="0081536C">
              <w:rPr>
                <w:rFonts w:ascii="Calibri" w:hAnsi="Calibri"/>
                <w:sz w:val="16"/>
                <w:szCs w:val="16"/>
              </w:rPr>
              <w:t>(Milled Equivalent)</w:t>
            </w:r>
          </w:p>
        </w:tc>
        <w:tc>
          <w:tcPr>
            <w:tcW w:w="990" w:type="dxa"/>
            <w:tcBorders>
              <w:top w:val="nil"/>
              <w:left w:val="nil"/>
              <w:bottom w:val="nil"/>
              <w:right w:val="nil"/>
            </w:tcBorders>
            <w:shd w:val="clear" w:color="auto" w:fill="auto"/>
            <w:noWrap/>
            <w:vAlign w:val="bottom"/>
          </w:tcPr>
          <w:p w14:paraId="68AE7813" w14:textId="77777777" w:rsidR="00C311C4" w:rsidRPr="0081536C" w:rsidRDefault="00C311C4" w:rsidP="00C36A8E">
            <w:pPr>
              <w:jc w:val="right"/>
              <w:rPr>
                <w:rFonts w:ascii="Calibri" w:hAnsi="Calibri"/>
                <w:sz w:val="16"/>
                <w:szCs w:val="16"/>
              </w:rPr>
            </w:pPr>
            <w:r w:rsidRPr="0081536C">
              <w:rPr>
                <w:rFonts w:ascii="Calibri" w:hAnsi="Calibri"/>
                <w:sz w:val="16"/>
                <w:szCs w:val="16"/>
              </w:rPr>
              <w:t>28</w:t>
            </w:r>
          </w:p>
        </w:tc>
        <w:tc>
          <w:tcPr>
            <w:tcW w:w="900" w:type="dxa"/>
            <w:tcBorders>
              <w:top w:val="nil"/>
              <w:left w:val="nil"/>
              <w:bottom w:val="nil"/>
              <w:right w:val="nil"/>
            </w:tcBorders>
            <w:shd w:val="clear" w:color="auto" w:fill="auto"/>
            <w:noWrap/>
            <w:vAlign w:val="bottom"/>
          </w:tcPr>
          <w:p w14:paraId="08415A7B" w14:textId="77777777" w:rsidR="00C311C4" w:rsidRPr="0081536C" w:rsidRDefault="00C311C4" w:rsidP="00C36A8E">
            <w:pPr>
              <w:jc w:val="right"/>
              <w:rPr>
                <w:rFonts w:ascii="Calibri" w:hAnsi="Calibri"/>
                <w:sz w:val="16"/>
                <w:szCs w:val="16"/>
              </w:rPr>
            </w:pPr>
            <w:r w:rsidRPr="0081536C">
              <w:rPr>
                <w:rFonts w:ascii="Calibri" w:hAnsi="Calibri"/>
                <w:sz w:val="16"/>
                <w:szCs w:val="16"/>
              </w:rPr>
              <w:t>1</w:t>
            </w:r>
          </w:p>
        </w:tc>
        <w:tc>
          <w:tcPr>
            <w:tcW w:w="900" w:type="dxa"/>
            <w:tcBorders>
              <w:top w:val="nil"/>
              <w:left w:val="nil"/>
              <w:bottom w:val="nil"/>
              <w:right w:val="nil"/>
            </w:tcBorders>
            <w:shd w:val="clear" w:color="auto" w:fill="auto"/>
            <w:noWrap/>
            <w:vAlign w:val="bottom"/>
          </w:tcPr>
          <w:p w14:paraId="4E38D189"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814" w:type="dxa"/>
            <w:tcBorders>
              <w:top w:val="nil"/>
              <w:left w:val="nil"/>
              <w:bottom w:val="nil"/>
              <w:right w:val="nil"/>
            </w:tcBorders>
            <w:shd w:val="clear" w:color="auto" w:fill="auto"/>
            <w:noWrap/>
            <w:vAlign w:val="bottom"/>
          </w:tcPr>
          <w:p w14:paraId="74CB5F17"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390BEBE5" w14:textId="77777777" w:rsidR="00C311C4" w:rsidRPr="0081536C" w:rsidRDefault="00C311C4" w:rsidP="00C36A8E">
            <w:pPr>
              <w:jc w:val="right"/>
              <w:rPr>
                <w:rFonts w:ascii="Calibri" w:hAnsi="Calibri"/>
                <w:sz w:val="16"/>
                <w:szCs w:val="16"/>
              </w:rPr>
            </w:pPr>
            <w:r w:rsidRPr="0081536C">
              <w:rPr>
                <w:rFonts w:ascii="Calibri" w:hAnsi="Calibri"/>
                <w:sz w:val="16"/>
                <w:szCs w:val="16"/>
              </w:rPr>
              <w:t>29</w:t>
            </w:r>
          </w:p>
        </w:tc>
        <w:tc>
          <w:tcPr>
            <w:tcW w:w="625" w:type="dxa"/>
            <w:tcBorders>
              <w:top w:val="nil"/>
              <w:left w:val="nil"/>
              <w:bottom w:val="nil"/>
              <w:right w:val="nil"/>
            </w:tcBorders>
            <w:shd w:val="clear" w:color="auto" w:fill="auto"/>
            <w:noWrap/>
            <w:vAlign w:val="bottom"/>
          </w:tcPr>
          <w:p w14:paraId="19657175"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74" w:type="dxa"/>
            <w:tcBorders>
              <w:top w:val="nil"/>
              <w:left w:val="nil"/>
              <w:bottom w:val="nil"/>
              <w:right w:val="nil"/>
            </w:tcBorders>
            <w:shd w:val="clear" w:color="auto" w:fill="auto"/>
            <w:noWrap/>
            <w:vAlign w:val="bottom"/>
          </w:tcPr>
          <w:p w14:paraId="63BE50FF" w14:textId="77777777" w:rsidR="00C311C4" w:rsidRPr="0081536C" w:rsidRDefault="00C311C4" w:rsidP="00C36A8E">
            <w:pPr>
              <w:jc w:val="right"/>
              <w:rPr>
                <w:rFonts w:ascii="Calibri" w:hAnsi="Calibri"/>
                <w:sz w:val="16"/>
                <w:szCs w:val="16"/>
              </w:rPr>
            </w:pPr>
            <w:r w:rsidRPr="0081536C">
              <w:rPr>
                <w:rFonts w:ascii="Calibri" w:hAnsi="Calibri"/>
                <w:sz w:val="16"/>
                <w:szCs w:val="16"/>
              </w:rPr>
              <w:t>1</w:t>
            </w:r>
          </w:p>
        </w:tc>
        <w:tc>
          <w:tcPr>
            <w:tcW w:w="993" w:type="dxa"/>
            <w:tcBorders>
              <w:top w:val="nil"/>
              <w:left w:val="nil"/>
              <w:bottom w:val="nil"/>
              <w:right w:val="nil"/>
            </w:tcBorders>
            <w:shd w:val="clear" w:color="auto" w:fill="auto"/>
            <w:noWrap/>
            <w:vAlign w:val="bottom"/>
          </w:tcPr>
          <w:p w14:paraId="17362905"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16" w:type="dxa"/>
            <w:tcBorders>
              <w:top w:val="nil"/>
              <w:left w:val="nil"/>
              <w:bottom w:val="nil"/>
              <w:right w:val="nil"/>
            </w:tcBorders>
            <w:shd w:val="clear" w:color="auto" w:fill="auto"/>
            <w:noWrap/>
            <w:vAlign w:val="bottom"/>
          </w:tcPr>
          <w:p w14:paraId="13D06B41" w14:textId="77777777" w:rsidR="00C311C4" w:rsidRPr="0081536C" w:rsidRDefault="00C311C4" w:rsidP="00C36A8E">
            <w:pPr>
              <w:jc w:val="right"/>
              <w:rPr>
                <w:rFonts w:ascii="Calibri" w:hAnsi="Calibri"/>
                <w:sz w:val="16"/>
                <w:szCs w:val="16"/>
              </w:rPr>
            </w:pPr>
            <w:r w:rsidRPr="0081536C">
              <w:rPr>
                <w:rFonts w:ascii="Calibri" w:hAnsi="Calibri"/>
                <w:sz w:val="16"/>
                <w:szCs w:val="16"/>
              </w:rPr>
              <w:t>27</w:t>
            </w:r>
          </w:p>
        </w:tc>
        <w:tc>
          <w:tcPr>
            <w:tcW w:w="1134" w:type="dxa"/>
            <w:tcBorders>
              <w:top w:val="nil"/>
              <w:left w:val="nil"/>
              <w:bottom w:val="nil"/>
              <w:right w:val="nil"/>
            </w:tcBorders>
            <w:vAlign w:val="bottom"/>
          </w:tcPr>
          <w:p w14:paraId="0E8D8C88" w14:textId="695C9A21" w:rsidR="00C311C4" w:rsidRPr="0081536C" w:rsidRDefault="00C311C4" w:rsidP="00C36A8E">
            <w:pPr>
              <w:jc w:val="right"/>
              <w:rPr>
                <w:rFonts w:ascii="Calibri" w:hAnsi="Calibri"/>
                <w:sz w:val="16"/>
                <w:szCs w:val="16"/>
              </w:rPr>
            </w:pPr>
            <w:r w:rsidRPr="0081536C">
              <w:rPr>
                <w:rFonts w:ascii="Calibri" w:hAnsi="Calibri"/>
                <w:sz w:val="16"/>
                <w:szCs w:val="16"/>
              </w:rPr>
              <w:t>28</w:t>
            </w:r>
          </w:p>
        </w:tc>
      </w:tr>
      <w:tr w:rsidR="0081536C" w:rsidRPr="0081536C" w14:paraId="6F80BDCB" w14:textId="67550779" w:rsidTr="0081536C">
        <w:trPr>
          <w:trHeight w:val="260"/>
        </w:trPr>
        <w:tc>
          <w:tcPr>
            <w:tcW w:w="990" w:type="dxa"/>
            <w:tcBorders>
              <w:top w:val="nil"/>
              <w:left w:val="nil"/>
              <w:bottom w:val="nil"/>
              <w:right w:val="nil"/>
            </w:tcBorders>
            <w:shd w:val="clear" w:color="auto" w:fill="auto"/>
            <w:noWrap/>
            <w:vAlign w:val="bottom"/>
          </w:tcPr>
          <w:p w14:paraId="0824E51A" w14:textId="77777777" w:rsidR="00C311C4" w:rsidRPr="0081536C" w:rsidRDefault="00C311C4" w:rsidP="00C36A8E">
            <w:pPr>
              <w:rPr>
                <w:rFonts w:ascii="Calibri" w:hAnsi="Calibri"/>
                <w:sz w:val="16"/>
                <w:szCs w:val="16"/>
              </w:rPr>
            </w:pPr>
            <w:r w:rsidRPr="0081536C">
              <w:rPr>
                <w:rFonts w:ascii="Calibri" w:hAnsi="Calibri"/>
                <w:sz w:val="16"/>
                <w:szCs w:val="16"/>
              </w:rPr>
              <w:t>Barley</w:t>
            </w:r>
          </w:p>
        </w:tc>
        <w:tc>
          <w:tcPr>
            <w:tcW w:w="990" w:type="dxa"/>
            <w:tcBorders>
              <w:top w:val="nil"/>
              <w:left w:val="nil"/>
              <w:bottom w:val="nil"/>
              <w:right w:val="nil"/>
            </w:tcBorders>
            <w:shd w:val="clear" w:color="auto" w:fill="auto"/>
            <w:noWrap/>
            <w:vAlign w:val="bottom"/>
          </w:tcPr>
          <w:p w14:paraId="0A75D05E"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64C76948" w14:textId="77777777" w:rsidR="00C311C4" w:rsidRPr="0081536C" w:rsidRDefault="00C311C4" w:rsidP="00C36A8E">
            <w:pPr>
              <w:jc w:val="right"/>
              <w:rPr>
                <w:rFonts w:ascii="Calibri" w:hAnsi="Calibri"/>
                <w:sz w:val="16"/>
                <w:szCs w:val="16"/>
              </w:rPr>
            </w:pPr>
            <w:r w:rsidRPr="0081536C">
              <w:rPr>
                <w:rFonts w:ascii="Calibri" w:hAnsi="Calibri"/>
                <w:sz w:val="16"/>
                <w:szCs w:val="16"/>
              </w:rPr>
              <w:t>6</w:t>
            </w:r>
          </w:p>
        </w:tc>
        <w:tc>
          <w:tcPr>
            <w:tcW w:w="900" w:type="dxa"/>
            <w:tcBorders>
              <w:top w:val="nil"/>
              <w:left w:val="nil"/>
              <w:bottom w:val="nil"/>
              <w:right w:val="nil"/>
            </w:tcBorders>
            <w:shd w:val="clear" w:color="auto" w:fill="auto"/>
            <w:noWrap/>
            <w:vAlign w:val="bottom"/>
          </w:tcPr>
          <w:p w14:paraId="511EE5C4"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814" w:type="dxa"/>
            <w:tcBorders>
              <w:top w:val="nil"/>
              <w:left w:val="nil"/>
              <w:bottom w:val="nil"/>
              <w:right w:val="nil"/>
            </w:tcBorders>
            <w:shd w:val="clear" w:color="auto" w:fill="auto"/>
            <w:noWrap/>
            <w:vAlign w:val="bottom"/>
          </w:tcPr>
          <w:p w14:paraId="29617EA6"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1C44761B" w14:textId="77777777" w:rsidR="00C311C4" w:rsidRPr="0081536C" w:rsidRDefault="00C311C4" w:rsidP="00C36A8E">
            <w:pPr>
              <w:jc w:val="right"/>
              <w:rPr>
                <w:rFonts w:ascii="Calibri" w:hAnsi="Calibri"/>
                <w:sz w:val="16"/>
                <w:szCs w:val="16"/>
              </w:rPr>
            </w:pPr>
            <w:r w:rsidRPr="0081536C">
              <w:rPr>
                <w:rFonts w:ascii="Calibri" w:hAnsi="Calibri"/>
                <w:sz w:val="16"/>
                <w:szCs w:val="16"/>
              </w:rPr>
              <w:t>6</w:t>
            </w:r>
          </w:p>
        </w:tc>
        <w:tc>
          <w:tcPr>
            <w:tcW w:w="625" w:type="dxa"/>
            <w:tcBorders>
              <w:top w:val="nil"/>
              <w:left w:val="nil"/>
              <w:bottom w:val="nil"/>
              <w:right w:val="nil"/>
            </w:tcBorders>
            <w:shd w:val="clear" w:color="auto" w:fill="auto"/>
            <w:noWrap/>
            <w:vAlign w:val="bottom"/>
          </w:tcPr>
          <w:p w14:paraId="0973AE72"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74" w:type="dxa"/>
            <w:tcBorders>
              <w:top w:val="nil"/>
              <w:left w:val="nil"/>
              <w:bottom w:val="nil"/>
              <w:right w:val="nil"/>
            </w:tcBorders>
            <w:shd w:val="clear" w:color="auto" w:fill="auto"/>
            <w:noWrap/>
            <w:vAlign w:val="bottom"/>
          </w:tcPr>
          <w:p w14:paraId="35F80D94"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93" w:type="dxa"/>
            <w:tcBorders>
              <w:top w:val="nil"/>
              <w:left w:val="nil"/>
              <w:bottom w:val="nil"/>
              <w:right w:val="nil"/>
            </w:tcBorders>
            <w:shd w:val="clear" w:color="auto" w:fill="auto"/>
            <w:noWrap/>
            <w:vAlign w:val="bottom"/>
          </w:tcPr>
          <w:p w14:paraId="082DA928" w14:textId="77777777" w:rsidR="00C311C4" w:rsidRPr="0081536C" w:rsidRDefault="00C311C4" w:rsidP="00C36A8E">
            <w:pPr>
              <w:jc w:val="right"/>
              <w:rPr>
                <w:rFonts w:ascii="Calibri" w:hAnsi="Calibri"/>
                <w:sz w:val="16"/>
                <w:szCs w:val="16"/>
              </w:rPr>
            </w:pPr>
            <w:r w:rsidRPr="0081536C">
              <w:rPr>
                <w:rFonts w:ascii="Calibri" w:hAnsi="Calibri"/>
                <w:sz w:val="16"/>
                <w:szCs w:val="16"/>
              </w:rPr>
              <w:t>6</w:t>
            </w:r>
          </w:p>
        </w:tc>
        <w:tc>
          <w:tcPr>
            <w:tcW w:w="616" w:type="dxa"/>
            <w:tcBorders>
              <w:top w:val="nil"/>
              <w:left w:val="nil"/>
              <w:bottom w:val="nil"/>
              <w:right w:val="nil"/>
            </w:tcBorders>
            <w:shd w:val="clear" w:color="auto" w:fill="auto"/>
            <w:noWrap/>
            <w:vAlign w:val="bottom"/>
          </w:tcPr>
          <w:p w14:paraId="5ABF1475"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1134" w:type="dxa"/>
            <w:tcBorders>
              <w:top w:val="nil"/>
              <w:left w:val="nil"/>
              <w:bottom w:val="nil"/>
              <w:right w:val="nil"/>
            </w:tcBorders>
            <w:vAlign w:val="bottom"/>
          </w:tcPr>
          <w:p w14:paraId="440C88C8" w14:textId="769A2FE4" w:rsidR="00C311C4" w:rsidRPr="0081536C" w:rsidRDefault="00C311C4" w:rsidP="00C36A8E">
            <w:pPr>
              <w:jc w:val="right"/>
              <w:rPr>
                <w:rFonts w:ascii="Calibri" w:hAnsi="Calibri"/>
                <w:sz w:val="16"/>
                <w:szCs w:val="16"/>
              </w:rPr>
            </w:pPr>
            <w:r w:rsidRPr="0081536C">
              <w:rPr>
                <w:rFonts w:ascii="Calibri" w:hAnsi="Calibri"/>
                <w:sz w:val="16"/>
                <w:szCs w:val="16"/>
              </w:rPr>
              <w:t>0</w:t>
            </w:r>
          </w:p>
        </w:tc>
      </w:tr>
      <w:tr w:rsidR="0081536C" w:rsidRPr="0081536C" w14:paraId="7B7C8D19" w14:textId="2FE83E51" w:rsidTr="0081536C">
        <w:trPr>
          <w:trHeight w:val="260"/>
        </w:trPr>
        <w:tc>
          <w:tcPr>
            <w:tcW w:w="990" w:type="dxa"/>
            <w:tcBorders>
              <w:top w:val="nil"/>
              <w:left w:val="nil"/>
              <w:bottom w:val="nil"/>
              <w:right w:val="nil"/>
            </w:tcBorders>
            <w:shd w:val="clear" w:color="auto" w:fill="auto"/>
            <w:noWrap/>
            <w:vAlign w:val="bottom"/>
          </w:tcPr>
          <w:p w14:paraId="38FE072A" w14:textId="77777777" w:rsidR="00C311C4" w:rsidRPr="0081536C" w:rsidRDefault="00C311C4" w:rsidP="00C36A8E">
            <w:pPr>
              <w:rPr>
                <w:rFonts w:ascii="Calibri" w:hAnsi="Calibri"/>
                <w:sz w:val="16"/>
                <w:szCs w:val="16"/>
              </w:rPr>
            </w:pPr>
            <w:r w:rsidRPr="0081536C">
              <w:rPr>
                <w:rFonts w:ascii="Calibri" w:hAnsi="Calibri"/>
                <w:sz w:val="16"/>
                <w:szCs w:val="16"/>
              </w:rPr>
              <w:t>Maize</w:t>
            </w:r>
          </w:p>
        </w:tc>
        <w:tc>
          <w:tcPr>
            <w:tcW w:w="990" w:type="dxa"/>
            <w:tcBorders>
              <w:top w:val="nil"/>
              <w:left w:val="nil"/>
              <w:bottom w:val="nil"/>
              <w:right w:val="nil"/>
            </w:tcBorders>
            <w:shd w:val="clear" w:color="auto" w:fill="auto"/>
            <w:noWrap/>
            <w:vAlign w:val="bottom"/>
          </w:tcPr>
          <w:p w14:paraId="046597D3" w14:textId="77777777" w:rsidR="00C311C4" w:rsidRPr="0081536C" w:rsidRDefault="00C311C4" w:rsidP="00C36A8E">
            <w:pPr>
              <w:jc w:val="right"/>
              <w:rPr>
                <w:rFonts w:ascii="Calibri" w:hAnsi="Calibri"/>
                <w:color w:val="900000"/>
                <w:sz w:val="16"/>
                <w:szCs w:val="16"/>
              </w:rPr>
            </w:pPr>
            <w:r w:rsidRPr="0081536C">
              <w:rPr>
                <w:rFonts w:ascii="Calibri" w:hAnsi="Calibri"/>
                <w:color w:val="900000"/>
                <w:sz w:val="16"/>
                <w:szCs w:val="16"/>
              </w:rPr>
              <w:t>1225</w:t>
            </w:r>
          </w:p>
        </w:tc>
        <w:tc>
          <w:tcPr>
            <w:tcW w:w="900" w:type="dxa"/>
            <w:tcBorders>
              <w:top w:val="nil"/>
              <w:left w:val="nil"/>
              <w:bottom w:val="nil"/>
              <w:right w:val="nil"/>
            </w:tcBorders>
            <w:shd w:val="clear" w:color="auto" w:fill="auto"/>
            <w:noWrap/>
            <w:vAlign w:val="bottom"/>
          </w:tcPr>
          <w:p w14:paraId="487E2AA8" w14:textId="77777777" w:rsidR="00C311C4" w:rsidRPr="0081536C" w:rsidRDefault="00C311C4" w:rsidP="00C36A8E">
            <w:pPr>
              <w:jc w:val="right"/>
              <w:rPr>
                <w:rFonts w:ascii="Calibri" w:hAnsi="Calibri"/>
                <w:color w:val="900000"/>
                <w:sz w:val="16"/>
                <w:szCs w:val="16"/>
              </w:rPr>
            </w:pPr>
            <w:r w:rsidRPr="0081536C">
              <w:rPr>
                <w:rFonts w:ascii="Calibri" w:hAnsi="Calibri"/>
                <w:color w:val="900000"/>
                <w:sz w:val="16"/>
                <w:szCs w:val="16"/>
              </w:rPr>
              <w:t>125</w:t>
            </w:r>
          </w:p>
        </w:tc>
        <w:tc>
          <w:tcPr>
            <w:tcW w:w="900" w:type="dxa"/>
            <w:tcBorders>
              <w:top w:val="nil"/>
              <w:left w:val="nil"/>
              <w:bottom w:val="nil"/>
              <w:right w:val="nil"/>
            </w:tcBorders>
            <w:shd w:val="clear" w:color="auto" w:fill="auto"/>
            <w:noWrap/>
            <w:vAlign w:val="bottom"/>
          </w:tcPr>
          <w:p w14:paraId="2B3740EE" w14:textId="77777777" w:rsidR="00C311C4" w:rsidRPr="0081536C" w:rsidRDefault="00C311C4" w:rsidP="00C36A8E">
            <w:pPr>
              <w:jc w:val="right"/>
              <w:rPr>
                <w:rFonts w:ascii="Calibri" w:hAnsi="Calibri"/>
                <w:color w:val="900000"/>
                <w:sz w:val="16"/>
                <w:szCs w:val="16"/>
              </w:rPr>
            </w:pPr>
            <w:r w:rsidRPr="0081536C">
              <w:rPr>
                <w:rFonts w:ascii="Calibri" w:hAnsi="Calibri"/>
                <w:color w:val="900000"/>
                <w:sz w:val="16"/>
                <w:szCs w:val="16"/>
              </w:rPr>
              <w:t>725</w:t>
            </w:r>
          </w:p>
        </w:tc>
        <w:tc>
          <w:tcPr>
            <w:tcW w:w="814" w:type="dxa"/>
            <w:tcBorders>
              <w:top w:val="nil"/>
              <w:left w:val="nil"/>
              <w:bottom w:val="nil"/>
              <w:right w:val="nil"/>
            </w:tcBorders>
            <w:shd w:val="clear" w:color="auto" w:fill="auto"/>
            <w:noWrap/>
            <w:vAlign w:val="bottom"/>
          </w:tcPr>
          <w:p w14:paraId="01C2B265" w14:textId="77777777" w:rsidR="00C311C4" w:rsidRPr="0081536C" w:rsidRDefault="00C311C4" w:rsidP="00C36A8E">
            <w:pPr>
              <w:jc w:val="right"/>
              <w:rPr>
                <w:rFonts w:ascii="Calibri" w:hAnsi="Calibri"/>
                <w:color w:val="900000"/>
                <w:sz w:val="16"/>
                <w:szCs w:val="16"/>
              </w:rPr>
            </w:pPr>
            <w:r w:rsidRPr="0081536C">
              <w:rPr>
                <w:rFonts w:ascii="Calibri" w:hAnsi="Calibri"/>
                <w:color w:val="900000"/>
                <w:sz w:val="16"/>
                <w:szCs w:val="16"/>
              </w:rPr>
              <w:t>0</w:t>
            </w:r>
          </w:p>
        </w:tc>
        <w:tc>
          <w:tcPr>
            <w:tcW w:w="900" w:type="dxa"/>
            <w:tcBorders>
              <w:top w:val="nil"/>
              <w:left w:val="nil"/>
              <w:bottom w:val="nil"/>
              <w:right w:val="nil"/>
            </w:tcBorders>
            <w:shd w:val="clear" w:color="auto" w:fill="auto"/>
            <w:noWrap/>
            <w:vAlign w:val="bottom"/>
          </w:tcPr>
          <w:p w14:paraId="25428E8E" w14:textId="77777777" w:rsidR="00C311C4" w:rsidRPr="0081536C" w:rsidRDefault="00C311C4" w:rsidP="00C36A8E">
            <w:pPr>
              <w:jc w:val="right"/>
              <w:rPr>
                <w:rFonts w:ascii="Calibri" w:hAnsi="Calibri"/>
                <w:b/>
                <w:sz w:val="16"/>
                <w:szCs w:val="16"/>
              </w:rPr>
            </w:pPr>
            <w:r w:rsidRPr="0081536C">
              <w:rPr>
                <w:rFonts w:ascii="Calibri" w:hAnsi="Calibri"/>
                <w:b/>
                <w:sz w:val="16"/>
                <w:szCs w:val="16"/>
              </w:rPr>
              <w:t>2074</w:t>
            </w:r>
          </w:p>
        </w:tc>
        <w:tc>
          <w:tcPr>
            <w:tcW w:w="625" w:type="dxa"/>
            <w:tcBorders>
              <w:top w:val="nil"/>
              <w:left w:val="nil"/>
              <w:bottom w:val="nil"/>
              <w:right w:val="nil"/>
            </w:tcBorders>
            <w:shd w:val="clear" w:color="auto" w:fill="auto"/>
            <w:noWrap/>
            <w:vAlign w:val="bottom"/>
          </w:tcPr>
          <w:p w14:paraId="0563AA78" w14:textId="77777777" w:rsidR="00C311C4" w:rsidRPr="0081536C" w:rsidRDefault="00C311C4" w:rsidP="00C36A8E">
            <w:pPr>
              <w:jc w:val="right"/>
              <w:rPr>
                <w:rFonts w:ascii="Calibri" w:hAnsi="Calibri"/>
                <w:color w:val="0000D4"/>
                <w:sz w:val="16"/>
                <w:szCs w:val="16"/>
              </w:rPr>
            </w:pPr>
            <w:r w:rsidRPr="0081536C">
              <w:rPr>
                <w:rFonts w:ascii="Calibri" w:hAnsi="Calibri"/>
                <w:color w:val="0000D4"/>
                <w:sz w:val="16"/>
                <w:szCs w:val="16"/>
              </w:rPr>
              <w:t>150</w:t>
            </w:r>
          </w:p>
        </w:tc>
        <w:tc>
          <w:tcPr>
            <w:tcW w:w="674" w:type="dxa"/>
            <w:tcBorders>
              <w:top w:val="nil"/>
              <w:left w:val="nil"/>
              <w:bottom w:val="nil"/>
              <w:right w:val="nil"/>
            </w:tcBorders>
            <w:shd w:val="clear" w:color="auto" w:fill="auto"/>
            <w:noWrap/>
            <w:vAlign w:val="bottom"/>
          </w:tcPr>
          <w:p w14:paraId="5B8F6FA5" w14:textId="77777777" w:rsidR="00C311C4" w:rsidRPr="0081536C" w:rsidRDefault="00C311C4" w:rsidP="00C36A8E">
            <w:pPr>
              <w:jc w:val="right"/>
              <w:rPr>
                <w:rFonts w:ascii="Calibri" w:hAnsi="Calibri"/>
                <w:color w:val="0000D4"/>
                <w:sz w:val="16"/>
                <w:szCs w:val="16"/>
              </w:rPr>
            </w:pPr>
            <w:r w:rsidRPr="0081536C">
              <w:rPr>
                <w:rFonts w:ascii="Calibri" w:hAnsi="Calibri"/>
                <w:color w:val="0000D4"/>
                <w:sz w:val="16"/>
                <w:szCs w:val="16"/>
              </w:rPr>
              <w:t>38</w:t>
            </w:r>
          </w:p>
        </w:tc>
        <w:tc>
          <w:tcPr>
            <w:tcW w:w="993" w:type="dxa"/>
            <w:tcBorders>
              <w:top w:val="nil"/>
              <w:left w:val="nil"/>
              <w:bottom w:val="nil"/>
              <w:right w:val="nil"/>
            </w:tcBorders>
            <w:shd w:val="clear" w:color="auto" w:fill="auto"/>
            <w:noWrap/>
            <w:vAlign w:val="bottom"/>
          </w:tcPr>
          <w:p w14:paraId="28BAF3AB" w14:textId="77777777" w:rsidR="00C311C4" w:rsidRPr="0081536C" w:rsidRDefault="00C311C4" w:rsidP="00C36A8E">
            <w:pPr>
              <w:jc w:val="right"/>
              <w:rPr>
                <w:rFonts w:ascii="Calibri" w:hAnsi="Calibri"/>
                <w:color w:val="0000D4"/>
                <w:sz w:val="16"/>
                <w:szCs w:val="16"/>
              </w:rPr>
            </w:pPr>
            <w:r w:rsidRPr="0081536C">
              <w:rPr>
                <w:rFonts w:ascii="Calibri" w:hAnsi="Calibri"/>
                <w:color w:val="0000D4"/>
                <w:sz w:val="16"/>
                <w:szCs w:val="16"/>
              </w:rPr>
              <w:t>12</w:t>
            </w:r>
          </w:p>
        </w:tc>
        <w:tc>
          <w:tcPr>
            <w:tcW w:w="616" w:type="dxa"/>
            <w:tcBorders>
              <w:top w:val="nil"/>
              <w:left w:val="nil"/>
              <w:bottom w:val="nil"/>
              <w:right w:val="nil"/>
            </w:tcBorders>
            <w:shd w:val="clear" w:color="auto" w:fill="auto"/>
            <w:noWrap/>
            <w:vAlign w:val="bottom"/>
          </w:tcPr>
          <w:p w14:paraId="2722C216" w14:textId="77777777" w:rsidR="00C311C4" w:rsidRPr="0081536C" w:rsidRDefault="00C311C4" w:rsidP="00C36A8E">
            <w:pPr>
              <w:jc w:val="right"/>
              <w:rPr>
                <w:rFonts w:ascii="Calibri" w:hAnsi="Calibri"/>
                <w:color w:val="0000D4"/>
                <w:sz w:val="16"/>
                <w:szCs w:val="16"/>
              </w:rPr>
            </w:pPr>
            <w:r w:rsidRPr="0081536C">
              <w:rPr>
                <w:rFonts w:ascii="Calibri" w:hAnsi="Calibri"/>
                <w:color w:val="0000D4"/>
                <w:sz w:val="16"/>
                <w:szCs w:val="16"/>
              </w:rPr>
              <w:t>1718</w:t>
            </w:r>
          </w:p>
        </w:tc>
        <w:tc>
          <w:tcPr>
            <w:tcW w:w="1134" w:type="dxa"/>
            <w:tcBorders>
              <w:top w:val="nil"/>
              <w:left w:val="nil"/>
              <w:bottom w:val="nil"/>
              <w:right w:val="nil"/>
            </w:tcBorders>
            <w:vAlign w:val="bottom"/>
          </w:tcPr>
          <w:p w14:paraId="7BAB8536" w14:textId="3952AB30" w:rsidR="00C311C4" w:rsidRPr="0081536C" w:rsidRDefault="00C311C4" w:rsidP="00C36A8E">
            <w:pPr>
              <w:jc w:val="right"/>
              <w:rPr>
                <w:rFonts w:ascii="Calibri" w:hAnsi="Calibri"/>
                <w:color w:val="0000D4"/>
                <w:sz w:val="16"/>
                <w:szCs w:val="16"/>
              </w:rPr>
            </w:pPr>
            <w:r w:rsidRPr="0081536C">
              <w:rPr>
                <w:rFonts w:ascii="Calibri" w:hAnsi="Calibri"/>
                <w:color w:val="0000D4"/>
                <w:sz w:val="16"/>
                <w:szCs w:val="16"/>
              </w:rPr>
              <w:t>1918</w:t>
            </w:r>
          </w:p>
        </w:tc>
      </w:tr>
      <w:tr w:rsidR="0081536C" w:rsidRPr="0081536C" w14:paraId="7EDAAB85" w14:textId="7E225602" w:rsidTr="0081536C">
        <w:trPr>
          <w:trHeight w:val="260"/>
        </w:trPr>
        <w:tc>
          <w:tcPr>
            <w:tcW w:w="990" w:type="dxa"/>
            <w:tcBorders>
              <w:top w:val="nil"/>
              <w:left w:val="nil"/>
              <w:bottom w:val="nil"/>
              <w:right w:val="nil"/>
            </w:tcBorders>
            <w:shd w:val="clear" w:color="auto" w:fill="auto"/>
            <w:noWrap/>
            <w:vAlign w:val="bottom"/>
          </w:tcPr>
          <w:p w14:paraId="743DE061" w14:textId="77777777" w:rsidR="00C311C4" w:rsidRPr="0081536C" w:rsidRDefault="00C311C4" w:rsidP="00C36A8E">
            <w:pPr>
              <w:rPr>
                <w:rFonts w:ascii="Calibri" w:hAnsi="Calibri"/>
                <w:sz w:val="16"/>
                <w:szCs w:val="16"/>
              </w:rPr>
            </w:pPr>
            <w:r w:rsidRPr="0081536C">
              <w:rPr>
                <w:rFonts w:ascii="Calibri" w:hAnsi="Calibri"/>
                <w:sz w:val="16"/>
                <w:szCs w:val="16"/>
              </w:rPr>
              <w:t>Millet</w:t>
            </w:r>
          </w:p>
        </w:tc>
        <w:tc>
          <w:tcPr>
            <w:tcW w:w="990" w:type="dxa"/>
            <w:tcBorders>
              <w:top w:val="nil"/>
              <w:left w:val="nil"/>
              <w:bottom w:val="nil"/>
              <w:right w:val="nil"/>
            </w:tcBorders>
            <w:shd w:val="clear" w:color="auto" w:fill="auto"/>
            <w:noWrap/>
            <w:vAlign w:val="bottom"/>
          </w:tcPr>
          <w:p w14:paraId="04D5E373" w14:textId="77777777" w:rsidR="00C311C4" w:rsidRPr="0081536C" w:rsidRDefault="00C311C4" w:rsidP="00C36A8E">
            <w:pPr>
              <w:jc w:val="right"/>
              <w:rPr>
                <w:rFonts w:ascii="Calibri" w:hAnsi="Calibri"/>
                <w:sz w:val="16"/>
                <w:szCs w:val="16"/>
              </w:rPr>
            </w:pPr>
            <w:r w:rsidRPr="0081536C">
              <w:rPr>
                <w:rFonts w:ascii="Calibri" w:hAnsi="Calibri"/>
                <w:sz w:val="16"/>
                <w:szCs w:val="16"/>
              </w:rPr>
              <w:t>16</w:t>
            </w:r>
          </w:p>
        </w:tc>
        <w:tc>
          <w:tcPr>
            <w:tcW w:w="900" w:type="dxa"/>
            <w:tcBorders>
              <w:top w:val="nil"/>
              <w:left w:val="nil"/>
              <w:bottom w:val="nil"/>
              <w:right w:val="nil"/>
            </w:tcBorders>
            <w:shd w:val="clear" w:color="auto" w:fill="auto"/>
            <w:noWrap/>
            <w:vAlign w:val="bottom"/>
          </w:tcPr>
          <w:p w14:paraId="1C837025"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79720C36"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814" w:type="dxa"/>
            <w:tcBorders>
              <w:top w:val="nil"/>
              <w:left w:val="nil"/>
              <w:bottom w:val="nil"/>
              <w:right w:val="nil"/>
            </w:tcBorders>
            <w:shd w:val="clear" w:color="auto" w:fill="auto"/>
            <w:noWrap/>
            <w:vAlign w:val="bottom"/>
          </w:tcPr>
          <w:p w14:paraId="274B6C7A"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138D5DB6" w14:textId="77777777" w:rsidR="00C311C4" w:rsidRPr="0081536C" w:rsidRDefault="00C311C4" w:rsidP="00C36A8E">
            <w:pPr>
              <w:jc w:val="right"/>
              <w:rPr>
                <w:rFonts w:ascii="Calibri" w:hAnsi="Calibri"/>
                <w:sz w:val="16"/>
                <w:szCs w:val="16"/>
              </w:rPr>
            </w:pPr>
            <w:r w:rsidRPr="0081536C">
              <w:rPr>
                <w:rFonts w:ascii="Calibri" w:hAnsi="Calibri"/>
                <w:sz w:val="16"/>
                <w:szCs w:val="16"/>
              </w:rPr>
              <w:t>16</w:t>
            </w:r>
          </w:p>
        </w:tc>
        <w:tc>
          <w:tcPr>
            <w:tcW w:w="625" w:type="dxa"/>
            <w:tcBorders>
              <w:top w:val="nil"/>
              <w:left w:val="nil"/>
              <w:bottom w:val="nil"/>
              <w:right w:val="nil"/>
            </w:tcBorders>
            <w:shd w:val="clear" w:color="auto" w:fill="auto"/>
            <w:noWrap/>
            <w:vAlign w:val="bottom"/>
          </w:tcPr>
          <w:p w14:paraId="3150DD58" w14:textId="77777777" w:rsidR="00C311C4" w:rsidRPr="0081536C" w:rsidRDefault="00C311C4" w:rsidP="00C36A8E">
            <w:pPr>
              <w:jc w:val="right"/>
              <w:rPr>
                <w:rFonts w:ascii="Calibri" w:hAnsi="Calibri"/>
                <w:sz w:val="16"/>
                <w:szCs w:val="16"/>
              </w:rPr>
            </w:pPr>
            <w:r w:rsidRPr="0081536C">
              <w:rPr>
                <w:rFonts w:ascii="Calibri" w:hAnsi="Calibri"/>
                <w:sz w:val="16"/>
                <w:szCs w:val="16"/>
              </w:rPr>
              <w:t>1</w:t>
            </w:r>
          </w:p>
        </w:tc>
        <w:tc>
          <w:tcPr>
            <w:tcW w:w="674" w:type="dxa"/>
            <w:tcBorders>
              <w:top w:val="nil"/>
              <w:left w:val="nil"/>
              <w:bottom w:val="nil"/>
              <w:right w:val="nil"/>
            </w:tcBorders>
            <w:shd w:val="clear" w:color="auto" w:fill="auto"/>
            <w:noWrap/>
            <w:vAlign w:val="bottom"/>
          </w:tcPr>
          <w:p w14:paraId="064844BA" w14:textId="77777777" w:rsidR="00C311C4" w:rsidRPr="0081536C" w:rsidRDefault="00C311C4" w:rsidP="00C36A8E">
            <w:pPr>
              <w:jc w:val="right"/>
              <w:rPr>
                <w:rFonts w:ascii="Calibri" w:hAnsi="Calibri"/>
                <w:sz w:val="16"/>
                <w:szCs w:val="16"/>
              </w:rPr>
            </w:pPr>
            <w:r w:rsidRPr="0081536C">
              <w:rPr>
                <w:rFonts w:ascii="Calibri" w:hAnsi="Calibri"/>
                <w:sz w:val="16"/>
                <w:szCs w:val="16"/>
              </w:rPr>
              <w:t>1</w:t>
            </w:r>
          </w:p>
        </w:tc>
        <w:tc>
          <w:tcPr>
            <w:tcW w:w="993" w:type="dxa"/>
            <w:tcBorders>
              <w:top w:val="nil"/>
              <w:left w:val="nil"/>
              <w:bottom w:val="nil"/>
              <w:right w:val="nil"/>
            </w:tcBorders>
            <w:shd w:val="clear" w:color="auto" w:fill="auto"/>
            <w:noWrap/>
            <w:vAlign w:val="bottom"/>
          </w:tcPr>
          <w:p w14:paraId="1D813930"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16" w:type="dxa"/>
            <w:tcBorders>
              <w:top w:val="nil"/>
              <w:left w:val="nil"/>
              <w:bottom w:val="nil"/>
              <w:right w:val="nil"/>
            </w:tcBorders>
            <w:shd w:val="clear" w:color="auto" w:fill="auto"/>
            <w:noWrap/>
            <w:vAlign w:val="bottom"/>
          </w:tcPr>
          <w:p w14:paraId="017BA0F6" w14:textId="77777777" w:rsidR="00C311C4" w:rsidRPr="0081536C" w:rsidRDefault="00C311C4" w:rsidP="00C36A8E">
            <w:pPr>
              <w:jc w:val="right"/>
              <w:rPr>
                <w:rFonts w:ascii="Calibri" w:hAnsi="Calibri"/>
                <w:sz w:val="16"/>
                <w:szCs w:val="16"/>
              </w:rPr>
            </w:pPr>
            <w:r w:rsidRPr="0081536C">
              <w:rPr>
                <w:rFonts w:ascii="Calibri" w:hAnsi="Calibri"/>
                <w:sz w:val="16"/>
                <w:szCs w:val="16"/>
              </w:rPr>
              <w:t>15</w:t>
            </w:r>
          </w:p>
        </w:tc>
        <w:tc>
          <w:tcPr>
            <w:tcW w:w="1134" w:type="dxa"/>
            <w:tcBorders>
              <w:top w:val="nil"/>
              <w:left w:val="nil"/>
              <w:bottom w:val="nil"/>
              <w:right w:val="nil"/>
            </w:tcBorders>
            <w:vAlign w:val="bottom"/>
          </w:tcPr>
          <w:p w14:paraId="064A926D" w14:textId="0BCC6496" w:rsidR="00C311C4" w:rsidRPr="0081536C" w:rsidRDefault="00C311C4" w:rsidP="00C36A8E">
            <w:pPr>
              <w:jc w:val="right"/>
              <w:rPr>
                <w:rFonts w:ascii="Calibri" w:hAnsi="Calibri"/>
                <w:sz w:val="16"/>
                <w:szCs w:val="16"/>
              </w:rPr>
            </w:pPr>
            <w:r w:rsidRPr="0081536C">
              <w:rPr>
                <w:rFonts w:ascii="Calibri" w:hAnsi="Calibri"/>
                <w:sz w:val="16"/>
                <w:szCs w:val="16"/>
              </w:rPr>
              <w:t>17</w:t>
            </w:r>
          </w:p>
        </w:tc>
      </w:tr>
      <w:tr w:rsidR="0081536C" w:rsidRPr="0081536C" w14:paraId="5FFA6ABB" w14:textId="75E01146" w:rsidTr="0081536C">
        <w:trPr>
          <w:trHeight w:val="260"/>
        </w:trPr>
        <w:tc>
          <w:tcPr>
            <w:tcW w:w="990" w:type="dxa"/>
            <w:tcBorders>
              <w:top w:val="nil"/>
              <w:left w:val="nil"/>
              <w:bottom w:val="nil"/>
              <w:right w:val="nil"/>
            </w:tcBorders>
            <w:shd w:val="clear" w:color="auto" w:fill="auto"/>
            <w:noWrap/>
            <w:vAlign w:val="bottom"/>
          </w:tcPr>
          <w:p w14:paraId="25F30953" w14:textId="77777777" w:rsidR="00C311C4" w:rsidRPr="0081536C" w:rsidRDefault="00C311C4" w:rsidP="00C36A8E">
            <w:pPr>
              <w:rPr>
                <w:rFonts w:ascii="Calibri" w:hAnsi="Calibri"/>
                <w:sz w:val="16"/>
                <w:szCs w:val="16"/>
              </w:rPr>
            </w:pPr>
            <w:r w:rsidRPr="0081536C">
              <w:rPr>
                <w:rFonts w:ascii="Calibri" w:hAnsi="Calibri"/>
                <w:sz w:val="16"/>
                <w:szCs w:val="16"/>
              </w:rPr>
              <w:t>Sorghum</w:t>
            </w:r>
          </w:p>
        </w:tc>
        <w:tc>
          <w:tcPr>
            <w:tcW w:w="990" w:type="dxa"/>
            <w:tcBorders>
              <w:top w:val="nil"/>
              <w:left w:val="nil"/>
              <w:bottom w:val="nil"/>
              <w:right w:val="nil"/>
            </w:tcBorders>
            <w:shd w:val="clear" w:color="auto" w:fill="auto"/>
            <w:noWrap/>
            <w:vAlign w:val="bottom"/>
          </w:tcPr>
          <w:p w14:paraId="77B98BD7" w14:textId="77777777" w:rsidR="00C311C4" w:rsidRPr="0081536C" w:rsidRDefault="00C311C4" w:rsidP="00C36A8E">
            <w:pPr>
              <w:jc w:val="right"/>
              <w:rPr>
                <w:rFonts w:ascii="Calibri" w:hAnsi="Calibri"/>
                <w:sz w:val="16"/>
                <w:szCs w:val="16"/>
              </w:rPr>
            </w:pPr>
            <w:r w:rsidRPr="0081536C">
              <w:rPr>
                <w:rFonts w:ascii="Calibri" w:hAnsi="Calibri"/>
                <w:sz w:val="16"/>
                <w:szCs w:val="16"/>
              </w:rPr>
              <w:t>18</w:t>
            </w:r>
          </w:p>
        </w:tc>
        <w:tc>
          <w:tcPr>
            <w:tcW w:w="900" w:type="dxa"/>
            <w:tcBorders>
              <w:top w:val="nil"/>
              <w:left w:val="nil"/>
              <w:bottom w:val="nil"/>
              <w:right w:val="nil"/>
            </w:tcBorders>
            <w:shd w:val="clear" w:color="auto" w:fill="auto"/>
            <w:noWrap/>
            <w:vAlign w:val="bottom"/>
          </w:tcPr>
          <w:p w14:paraId="2436BD61" w14:textId="77777777" w:rsidR="00C311C4" w:rsidRPr="0081536C" w:rsidRDefault="00C311C4" w:rsidP="00C36A8E">
            <w:pPr>
              <w:jc w:val="right"/>
              <w:rPr>
                <w:rFonts w:ascii="Calibri" w:hAnsi="Calibri"/>
                <w:sz w:val="16"/>
                <w:szCs w:val="16"/>
              </w:rPr>
            </w:pPr>
            <w:r w:rsidRPr="0081536C">
              <w:rPr>
                <w:rFonts w:ascii="Calibri" w:hAnsi="Calibri"/>
                <w:sz w:val="16"/>
                <w:szCs w:val="16"/>
              </w:rPr>
              <w:t>16</w:t>
            </w:r>
          </w:p>
        </w:tc>
        <w:tc>
          <w:tcPr>
            <w:tcW w:w="900" w:type="dxa"/>
            <w:tcBorders>
              <w:top w:val="nil"/>
              <w:left w:val="nil"/>
              <w:bottom w:val="nil"/>
              <w:right w:val="nil"/>
            </w:tcBorders>
            <w:shd w:val="clear" w:color="auto" w:fill="auto"/>
            <w:noWrap/>
            <w:vAlign w:val="bottom"/>
          </w:tcPr>
          <w:p w14:paraId="630BF8E5"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814" w:type="dxa"/>
            <w:tcBorders>
              <w:top w:val="nil"/>
              <w:left w:val="nil"/>
              <w:bottom w:val="nil"/>
              <w:right w:val="nil"/>
            </w:tcBorders>
            <w:shd w:val="clear" w:color="auto" w:fill="auto"/>
            <w:noWrap/>
            <w:vAlign w:val="bottom"/>
          </w:tcPr>
          <w:p w14:paraId="5D584E0B"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1FB6E892" w14:textId="77777777" w:rsidR="00C311C4" w:rsidRPr="0081536C" w:rsidRDefault="00C311C4" w:rsidP="00C36A8E">
            <w:pPr>
              <w:jc w:val="right"/>
              <w:rPr>
                <w:rFonts w:ascii="Calibri" w:hAnsi="Calibri"/>
                <w:sz w:val="16"/>
                <w:szCs w:val="16"/>
              </w:rPr>
            </w:pPr>
            <w:r w:rsidRPr="0081536C">
              <w:rPr>
                <w:rFonts w:ascii="Calibri" w:hAnsi="Calibri"/>
                <w:sz w:val="16"/>
                <w:szCs w:val="16"/>
              </w:rPr>
              <w:t>34</w:t>
            </w:r>
          </w:p>
        </w:tc>
        <w:tc>
          <w:tcPr>
            <w:tcW w:w="625" w:type="dxa"/>
            <w:tcBorders>
              <w:top w:val="nil"/>
              <w:left w:val="nil"/>
              <w:bottom w:val="nil"/>
              <w:right w:val="nil"/>
            </w:tcBorders>
            <w:shd w:val="clear" w:color="auto" w:fill="auto"/>
            <w:noWrap/>
            <w:vAlign w:val="bottom"/>
          </w:tcPr>
          <w:p w14:paraId="4704E415" w14:textId="77777777" w:rsidR="00C311C4" w:rsidRPr="0081536C" w:rsidRDefault="00C311C4" w:rsidP="00C36A8E">
            <w:pPr>
              <w:jc w:val="right"/>
              <w:rPr>
                <w:rFonts w:ascii="Calibri" w:hAnsi="Calibri"/>
                <w:sz w:val="16"/>
                <w:szCs w:val="16"/>
              </w:rPr>
            </w:pPr>
            <w:r w:rsidRPr="0081536C">
              <w:rPr>
                <w:rFonts w:ascii="Calibri" w:hAnsi="Calibri"/>
                <w:sz w:val="16"/>
                <w:szCs w:val="16"/>
              </w:rPr>
              <w:t>2</w:t>
            </w:r>
          </w:p>
        </w:tc>
        <w:tc>
          <w:tcPr>
            <w:tcW w:w="674" w:type="dxa"/>
            <w:tcBorders>
              <w:top w:val="nil"/>
              <w:left w:val="nil"/>
              <w:bottom w:val="nil"/>
              <w:right w:val="nil"/>
            </w:tcBorders>
            <w:shd w:val="clear" w:color="auto" w:fill="auto"/>
            <w:noWrap/>
            <w:vAlign w:val="bottom"/>
          </w:tcPr>
          <w:p w14:paraId="21AED891" w14:textId="77777777" w:rsidR="00C311C4" w:rsidRPr="0081536C" w:rsidRDefault="00C311C4" w:rsidP="00C36A8E">
            <w:pPr>
              <w:jc w:val="right"/>
              <w:rPr>
                <w:rFonts w:ascii="Calibri" w:hAnsi="Calibri"/>
                <w:sz w:val="16"/>
                <w:szCs w:val="16"/>
              </w:rPr>
            </w:pPr>
            <w:r w:rsidRPr="0081536C">
              <w:rPr>
                <w:rFonts w:ascii="Calibri" w:hAnsi="Calibri"/>
                <w:sz w:val="16"/>
                <w:szCs w:val="16"/>
              </w:rPr>
              <w:t>1</w:t>
            </w:r>
          </w:p>
        </w:tc>
        <w:tc>
          <w:tcPr>
            <w:tcW w:w="993" w:type="dxa"/>
            <w:tcBorders>
              <w:top w:val="nil"/>
              <w:left w:val="nil"/>
              <w:bottom w:val="nil"/>
              <w:right w:val="nil"/>
            </w:tcBorders>
            <w:shd w:val="clear" w:color="auto" w:fill="auto"/>
            <w:noWrap/>
            <w:vAlign w:val="bottom"/>
          </w:tcPr>
          <w:p w14:paraId="4BB6EB79" w14:textId="77777777" w:rsidR="00C311C4" w:rsidRPr="0081536C" w:rsidRDefault="00C311C4" w:rsidP="00C36A8E">
            <w:pPr>
              <w:jc w:val="right"/>
              <w:rPr>
                <w:rFonts w:ascii="Calibri" w:hAnsi="Calibri"/>
                <w:sz w:val="16"/>
                <w:szCs w:val="16"/>
              </w:rPr>
            </w:pPr>
            <w:r w:rsidRPr="0081536C">
              <w:rPr>
                <w:rFonts w:ascii="Calibri" w:hAnsi="Calibri"/>
                <w:sz w:val="16"/>
                <w:szCs w:val="16"/>
              </w:rPr>
              <w:t>14</w:t>
            </w:r>
          </w:p>
        </w:tc>
        <w:tc>
          <w:tcPr>
            <w:tcW w:w="616" w:type="dxa"/>
            <w:tcBorders>
              <w:top w:val="nil"/>
              <w:left w:val="nil"/>
              <w:bottom w:val="nil"/>
              <w:right w:val="nil"/>
            </w:tcBorders>
            <w:shd w:val="clear" w:color="auto" w:fill="auto"/>
            <w:noWrap/>
            <w:vAlign w:val="bottom"/>
          </w:tcPr>
          <w:p w14:paraId="43744EA8" w14:textId="77777777" w:rsidR="00C311C4" w:rsidRPr="0081536C" w:rsidRDefault="00C311C4" w:rsidP="00C36A8E">
            <w:pPr>
              <w:jc w:val="right"/>
              <w:rPr>
                <w:rFonts w:ascii="Calibri" w:hAnsi="Calibri"/>
                <w:sz w:val="16"/>
                <w:szCs w:val="16"/>
              </w:rPr>
            </w:pPr>
            <w:r w:rsidRPr="0081536C">
              <w:rPr>
                <w:rFonts w:ascii="Calibri" w:hAnsi="Calibri"/>
                <w:sz w:val="16"/>
                <w:szCs w:val="16"/>
              </w:rPr>
              <w:t>14</w:t>
            </w:r>
          </w:p>
        </w:tc>
        <w:tc>
          <w:tcPr>
            <w:tcW w:w="1134" w:type="dxa"/>
            <w:tcBorders>
              <w:top w:val="nil"/>
              <w:left w:val="nil"/>
              <w:bottom w:val="nil"/>
              <w:right w:val="nil"/>
            </w:tcBorders>
            <w:vAlign w:val="bottom"/>
          </w:tcPr>
          <w:p w14:paraId="300394AE" w14:textId="49723789" w:rsidR="00C311C4" w:rsidRPr="0081536C" w:rsidRDefault="00C311C4" w:rsidP="00C36A8E">
            <w:pPr>
              <w:jc w:val="right"/>
              <w:rPr>
                <w:rFonts w:ascii="Calibri" w:hAnsi="Calibri"/>
                <w:sz w:val="16"/>
                <w:szCs w:val="16"/>
              </w:rPr>
            </w:pPr>
            <w:r w:rsidRPr="0081536C">
              <w:rPr>
                <w:rFonts w:ascii="Calibri" w:hAnsi="Calibri"/>
                <w:sz w:val="16"/>
                <w:szCs w:val="16"/>
              </w:rPr>
              <w:t>31</w:t>
            </w:r>
          </w:p>
        </w:tc>
      </w:tr>
      <w:tr w:rsidR="0081536C" w:rsidRPr="0081536C" w14:paraId="1F532342" w14:textId="146BA092" w:rsidTr="0081536C">
        <w:trPr>
          <w:trHeight w:val="260"/>
        </w:trPr>
        <w:tc>
          <w:tcPr>
            <w:tcW w:w="990" w:type="dxa"/>
            <w:tcBorders>
              <w:top w:val="nil"/>
              <w:left w:val="nil"/>
              <w:bottom w:val="nil"/>
              <w:right w:val="nil"/>
            </w:tcBorders>
            <w:shd w:val="clear" w:color="auto" w:fill="auto"/>
            <w:noWrap/>
            <w:vAlign w:val="bottom"/>
          </w:tcPr>
          <w:p w14:paraId="24DD70C3" w14:textId="77777777" w:rsidR="00C311C4" w:rsidRPr="0081536C" w:rsidRDefault="00C311C4" w:rsidP="00C36A8E">
            <w:pPr>
              <w:rPr>
                <w:rFonts w:ascii="Calibri" w:hAnsi="Calibri"/>
                <w:sz w:val="16"/>
                <w:szCs w:val="16"/>
              </w:rPr>
            </w:pPr>
            <w:r w:rsidRPr="0081536C">
              <w:rPr>
                <w:rFonts w:ascii="Calibri" w:hAnsi="Calibri"/>
                <w:sz w:val="16"/>
                <w:szCs w:val="16"/>
              </w:rPr>
              <w:t>Cereals, Other</w:t>
            </w:r>
          </w:p>
        </w:tc>
        <w:tc>
          <w:tcPr>
            <w:tcW w:w="990" w:type="dxa"/>
            <w:tcBorders>
              <w:top w:val="nil"/>
              <w:left w:val="nil"/>
              <w:bottom w:val="nil"/>
              <w:right w:val="nil"/>
            </w:tcBorders>
            <w:shd w:val="clear" w:color="auto" w:fill="auto"/>
            <w:noWrap/>
            <w:vAlign w:val="bottom"/>
          </w:tcPr>
          <w:p w14:paraId="5E3BA0BC"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30923978"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74B37D05"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814" w:type="dxa"/>
            <w:tcBorders>
              <w:top w:val="nil"/>
              <w:left w:val="nil"/>
              <w:bottom w:val="nil"/>
              <w:right w:val="nil"/>
            </w:tcBorders>
            <w:shd w:val="clear" w:color="auto" w:fill="auto"/>
            <w:noWrap/>
            <w:vAlign w:val="bottom"/>
          </w:tcPr>
          <w:p w14:paraId="24D00D26"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00" w:type="dxa"/>
            <w:tcBorders>
              <w:top w:val="nil"/>
              <w:left w:val="nil"/>
              <w:bottom w:val="nil"/>
              <w:right w:val="nil"/>
            </w:tcBorders>
            <w:shd w:val="clear" w:color="auto" w:fill="auto"/>
            <w:noWrap/>
            <w:vAlign w:val="bottom"/>
          </w:tcPr>
          <w:p w14:paraId="5C9526AC"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25" w:type="dxa"/>
            <w:tcBorders>
              <w:top w:val="nil"/>
              <w:left w:val="nil"/>
              <w:bottom w:val="nil"/>
              <w:right w:val="nil"/>
            </w:tcBorders>
            <w:shd w:val="clear" w:color="auto" w:fill="auto"/>
            <w:noWrap/>
            <w:vAlign w:val="bottom"/>
          </w:tcPr>
          <w:p w14:paraId="60F97358"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74" w:type="dxa"/>
            <w:tcBorders>
              <w:top w:val="nil"/>
              <w:left w:val="nil"/>
              <w:bottom w:val="nil"/>
              <w:right w:val="nil"/>
            </w:tcBorders>
            <w:shd w:val="clear" w:color="auto" w:fill="auto"/>
            <w:noWrap/>
            <w:vAlign w:val="bottom"/>
          </w:tcPr>
          <w:p w14:paraId="5CCACF28"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993" w:type="dxa"/>
            <w:tcBorders>
              <w:top w:val="nil"/>
              <w:left w:val="nil"/>
              <w:bottom w:val="nil"/>
              <w:right w:val="nil"/>
            </w:tcBorders>
            <w:shd w:val="clear" w:color="auto" w:fill="auto"/>
            <w:noWrap/>
            <w:vAlign w:val="bottom"/>
          </w:tcPr>
          <w:p w14:paraId="6B7A29B7"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616" w:type="dxa"/>
            <w:tcBorders>
              <w:top w:val="nil"/>
              <w:left w:val="nil"/>
              <w:bottom w:val="nil"/>
              <w:right w:val="nil"/>
            </w:tcBorders>
            <w:shd w:val="clear" w:color="auto" w:fill="auto"/>
            <w:noWrap/>
            <w:vAlign w:val="bottom"/>
          </w:tcPr>
          <w:p w14:paraId="489F38CE" w14:textId="77777777" w:rsidR="00C311C4" w:rsidRPr="0081536C" w:rsidRDefault="00C311C4" w:rsidP="00C36A8E">
            <w:pPr>
              <w:jc w:val="right"/>
              <w:rPr>
                <w:rFonts w:ascii="Calibri" w:hAnsi="Calibri"/>
                <w:sz w:val="16"/>
                <w:szCs w:val="16"/>
              </w:rPr>
            </w:pPr>
            <w:r w:rsidRPr="0081536C">
              <w:rPr>
                <w:rFonts w:ascii="Calibri" w:hAnsi="Calibri"/>
                <w:sz w:val="16"/>
                <w:szCs w:val="16"/>
              </w:rPr>
              <w:t>0</w:t>
            </w:r>
          </w:p>
        </w:tc>
        <w:tc>
          <w:tcPr>
            <w:tcW w:w="1134" w:type="dxa"/>
            <w:tcBorders>
              <w:top w:val="nil"/>
              <w:left w:val="nil"/>
              <w:bottom w:val="nil"/>
              <w:right w:val="nil"/>
            </w:tcBorders>
            <w:vAlign w:val="bottom"/>
          </w:tcPr>
          <w:p w14:paraId="7FFBADD8" w14:textId="5E0AC0B1" w:rsidR="00C311C4" w:rsidRPr="0081536C" w:rsidRDefault="00C311C4" w:rsidP="00C36A8E">
            <w:pPr>
              <w:jc w:val="right"/>
              <w:rPr>
                <w:rFonts w:ascii="Calibri" w:hAnsi="Calibri"/>
                <w:sz w:val="16"/>
                <w:szCs w:val="16"/>
              </w:rPr>
            </w:pPr>
            <w:r w:rsidRPr="0081536C">
              <w:rPr>
                <w:rFonts w:ascii="Calibri" w:hAnsi="Calibri"/>
                <w:sz w:val="16"/>
                <w:szCs w:val="16"/>
              </w:rPr>
              <w:t>0</w:t>
            </w:r>
          </w:p>
        </w:tc>
      </w:tr>
    </w:tbl>
    <w:p w14:paraId="537C6E72" w14:textId="77777777" w:rsidR="004A2781" w:rsidRDefault="004A2781" w:rsidP="004A2781">
      <w:r>
        <w:t xml:space="preserve">Source: FAO Food Balance Sheets: </w:t>
      </w:r>
      <w:hyperlink r:id="rId17" w:anchor="ancor" w:history="1">
        <w:r w:rsidRPr="00C67B9D">
          <w:rPr>
            <w:rStyle w:val="Hyperlink"/>
          </w:rPr>
          <w:t>http://faostat.fao.org/site/368/default.aspx#ancor</w:t>
        </w:r>
      </w:hyperlink>
    </w:p>
    <w:p w14:paraId="3F275297" w14:textId="77777777" w:rsidR="004A47DC" w:rsidRDefault="004A47DC" w:rsidP="004A47DC"/>
    <w:p w14:paraId="4D843D62" w14:textId="16C69610" w:rsidR="004A47DC" w:rsidRDefault="00DE4225" w:rsidP="004A47DC">
      <w:r>
        <w:t>In 2005, Malawi experienced a poor harvest and a drought, culminating in a hungry season during December 2005-March 2006. The government of Malawi had promised fertilizer subsidies for 2004 maize planting but didn’t deliver them in time. Traders, given the government announcement of subsidies, waited to import fertilizer. The lack of inputs resulted in low yields, which was compounded by drought. The government released reserves at a fixed price, but with non-</w:t>
      </w:r>
      <w:r>
        <w:lastRenderedPageBreak/>
        <w:t>government prices climbing, the reserves were rationed. The government intended to import 60,000 tons of maize as a stop gap, but it was too little to stop the rapidly increasing prices.</w:t>
      </w:r>
      <w:r w:rsidR="00130520">
        <w:t xml:space="preserve"> During the summer and fall of 2005, prices doubled.</w:t>
      </w:r>
      <w:r w:rsidR="00DD1A36">
        <w:t xml:space="preserve"> D</w:t>
      </w:r>
      <w:r w:rsidR="002231F8">
        <w:t>omestic food prices began to approach import parity prices, before briefly exceeding them</w:t>
      </w:r>
      <w:r w:rsidR="00E15F6B">
        <w:t>.</w:t>
      </w:r>
      <w:r w:rsidR="004A47DC">
        <w:t xml:space="preserve"> </w:t>
      </w:r>
      <w:r w:rsidR="00DD40D9">
        <w:t>While the FBS indicates a need for imports, prices remained below import parity, suggesting that for many traders it made little sense to import for much of the year</w:t>
      </w:r>
      <w:r w:rsidR="00A96C07">
        <w:t>. Indeed, given that the government was releasing reserves and therefore keeping prices low, traders would have been reluctant to import food</w:t>
      </w:r>
      <w:r w:rsidR="00DD40D9">
        <w:t xml:space="preserve">. </w:t>
      </w:r>
      <w:r w:rsidR="004A47DC">
        <w:t>This highlights a limitation of the FBS. Food balance sheets are not lin</w:t>
      </w:r>
      <w:r w:rsidR="00A96C07">
        <w:t>ked to prices, are often static, and do not reflect current policy environment.</w:t>
      </w:r>
      <w:r w:rsidR="004A47DC">
        <w:t xml:space="preserve">  In Malawi, the FBS</w:t>
      </w:r>
      <w:r w:rsidR="00B82BB5">
        <w:t xml:space="preserve"> indicated a domestic shortfall but</w:t>
      </w:r>
      <w:r w:rsidR="0086321E">
        <w:t xml:space="preserve"> with IPP above domestic</w:t>
      </w:r>
      <w:r w:rsidR="00B82BB5">
        <w:t xml:space="preserve"> prices</w:t>
      </w:r>
      <w:r w:rsidR="0086321E">
        <w:t xml:space="preserve">, it seems likely that </w:t>
      </w:r>
      <w:r w:rsidR="00B82BB5">
        <w:t xml:space="preserve">many traders </w:t>
      </w:r>
      <w:r w:rsidR="00A96C07">
        <w:t>did not import food, fueling further concerns about shortages</w:t>
      </w:r>
      <w:r w:rsidR="000A503A">
        <w:t>.</w:t>
      </w:r>
      <w:r w:rsidR="0081536C">
        <w:t xml:space="preserve"> </w:t>
      </w:r>
    </w:p>
    <w:p w14:paraId="64586943" w14:textId="6A01436B" w:rsidR="004A2781" w:rsidRDefault="004A2781" w:rsidP="004A2781"/>
    <w:p w14:paraId="299EA044" w14:textId="185F46C0" w:rsidR="004422F9" w:rsidRPr="004422F9" w:rsidRDefault="004422F9" w:rsidP="004A2781">
      <w:pPr>
        <w:rPr>
          <w:i/>
        </w:rPr>
      </w:pPr>
      <w:r>
        <w:rPr>
          <w:i/>
        </w:rPr>
        <w:t xml:space="preserve">Maize prices versus import parity in </w:t>
      </w:r>
      <w:proofErr w:type="spellStart"/>
      <w:r>
        <w:rPr>
          <w:i/>
        </w:rPr>
        <w:t>Lilonge</w:t>
      </w:r>
      <w:proofErr w:type="spellEnd"/>
      <w:r>
        <w:rPr>
          <w:i/>
        </w:rPr>
        <w:t xml:space="preserve"> Malawi</w:t>
      </w:r>
      <w:r w:rsidRPr="004422F9">
        <w:rPr>
          <w:i/>
          <w:noProof/>
        </w:rPr>
        <w:drawing>
          <wp:inline distT="0" distB="0" distL="0" distR="0" wp14:anchorId="0C815BF3" wp14:editId="164D5BE4">
            <wp:extent cx="5486400" cy="3986530"/>
            <wp:effectExtent l="0" t="0" r="0" b="127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986530"/>
                    </a:xfrm>
                    <a:prstGeom prst="rect">
                      <a:avLst/>
                    </a:prstGeom>
                    <a:noFill/>
                    <a:ln>
                      <a:noFill/>
                    </a:ln>
                    <a:extLst/>
                  </pic:spPr>
                </pic:pic>
              </a:graphicData>
            </a:graphic>
          </wp:inline>
        </w:drawing>
      </w:r>
    </w:p>
    <w:p w14:paraId="7468893F" w14:textId="44517CFA" w:rsidR="004422F9" w:rsidRPr="004422F9" w:rsidRDefault="004422F9" w:rsidP="004422F9">
      <w:r>
        <w:t xml:space="preserve">Source: </w:t>
      </w:r>
      <w:r w:rsidR="00B26CB3">
        <w:t>“</w:t>
      </w:r>
      <w:r w:rsidRPr="004422F9">
        <w:t>Improving the Performance of Staple Markets to Exploit the Productive Potential of Smallholder Agriculture</w:t>
      </w:r>
      <w:r w:rsidR="00B26CB3">
        <w:t>” by</w:t>
      </w:r>
      <w:r w:rsidRPr="004422F9">
        <w:t xml:space="preserve"> T. S. Jayne, A. </w:t>
      </w:r>
      <w:proofErr w:type="spellStart"/>
      <w:r w:rsidRPr="004422F9">
        <w:t>Chapoto</w:t>
      </w:r>
      <w:proofErr w:type="spellEnd"/>
      <w:r w:rsidRPr="004422F9">
        <w:t xml:space="preserve">, and B. </w:t>
      </w:r>
      <w:proofErr w:type="spellStart"/>
      <w:r w:rsidRPr="004422F9">
        <w:t>Shiferaw</w:t>
      </w:r>
      <w:proofErr w:type="spellEnd"/>
    </w:p>
    <w:p w14:paraId="696633FE" w14:textId="77777777" w:rsidR="004422F9" w:rsidRPr="004422F9" w:rsidRDefault="004422F9" w:rsidP="004422F9">
      <w:r w:rsidRPr="004422F9">
        <w:t>AGRA Conference on “Towards Priority Action for Market Development for African Farmers,” Nairobi, Kenya, May 13-15, 2009</w:t>
      </w:r>
    </w:p>
    <w:p w14:paraId="6A7FA3A4" w14:textId="3FEC89D3" w:rsidR="004422F9" w:rsidRDefault="004422F9" w:rsidP="004A2781"/>
    <w:p w14:paraId="1A4A2A7E" w14:textId="63DE8D69" w:rsidR="00372862" w:rsidRPr="00372862" w:rsidRDefault="00372862" w:rsidP="00372862">
      <w:pPr>
        <w:rPr>
          <w:i/>
          <w:u w:val="single"/>
        </w:rPr>
      </w:pPr>
      <w:r w:rsidRPr="00372862">
        <w:rPr>
          <w:i/>
          <w:u w:val="single"/>
        </w:rPr>
        <w:t>2008 East Africa Regional Maize Availability</w:t>
      </w:r>
    </w:p>
    <w:p w14:paraId="3DB5CBE8" w14:textId="77777777" w:rsidR="004422F9" w:rsidRDefault="004422F9" w:rsidP="004A2781"/>
    <w:p w14:paraId="2ECB2A73" w14:textId="5170ABE7" w:rsidR="004A2781" w:rsidRDefault="004A2781" w:rsidP="004A2781">
      <w:r>
        <w:t xml:space="preserve">More </w:t>
      </w:r>
      <w:r w:rsidR="004422F9">
        <w:t xml:space="preserve">regionally </w:t>
      </w:r>
      <w:r>
        <w:t xml:space="preserve">aggregated FBS can provide snapshots of areas with large starting stocks, production and consumption, as well as indicate trading partners. Large </w:t>
      </w:r>
      <w:r>
        <w:lastRenderedPageBreak/>
        <w:t xml:space="preserve">volumes traded between countries over multiple years likely indicate relatively strong options for prospective source markets.  </w:t>
      </w:r>
    </w:p>
    <w:p w14:paraId="432841F6" w14:textId="77777777" w:rsidR="004A2781" w:rsidRDefault="004A2781" w:rsidP="004A2781"/>
    <w:p w14:paraId="7A775F71" w14:textId="256EE5D9" w:rsidR="004A2781" w:rsidRPr="00372862" w:rsidRDefault="00372862" w:rsidP="004A2781">
      <w:pPr>
        <w:rPr>
          <w:i/>
        </w:rPr>
      </w:pPr>
      <w:r w:rsidRPr="00372862">
        <w:rPr>
          <w:i/>
        </w:rPr>
        <w:t>Estimated East Africa maize availability balance sheet (July 2008 to June 2009) for minimum quality maize</w:t>
      </w:r>
    </w:p>
    <w:p w14:paraId="50957387" w14:textId="77777777" w:rsidR="004A2781" w:rsidRDefault="004A2781" w:rsidP="004A2781">
      <w:r w:rsidRPr="00D7464A">
        <w:rPr>
          <w:noProof/>
        </w:rPr>
        <w:drawing>
          <wp:inline distT="0" distB="0" distL="0" distR="0" wp14:anchorId="46B1470D" wp14:editId="19FF9252">
            <wp:extent cx="5486400" cy="3505200"/>
            <wp:effectExtent l="25400" t="0" r="0" b="0"/>
            <wp:docPr id="2" name="P 2" descr="RATES EAfrica Balance Sheet.tiff"/>
            <wp:cNvGraphicFramePr/>
            <a:graphic xmlns:a="http://schemas.openxmlformats.org/drawingml/2006/main">
              <a:graphicData uri="http://schemas.openxmlformats.org/drawingml/2006/picture">
                <pic:pic xmlns:pic="http://schemas.openxmlformats.org/drawingml/2006/picture">
                  <pic:nvPicPr>
                    <pic:cNvPr id="0" name="Content Placeholder 4" descr="RATES EAfrica Balance Sheet.tiff"/>
                    <pic:cNvPicPr>
                      <a:picLocks noGrp="1" noChangeAspect="1"/>
                    </pic:cNvPicPr>
                  </pic:nvPicPr>
                  <pic:blipFill>
                    <a:blip r:embed="rId19" cstate="print"/>
                    <a:srcRect t="-5353" b="-5353"/>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107DD717" w14:textId="7756C584" w:rsidR="004A2781" w:rsidRDefault="00C311C4" w:rsidP="004A2781">
      <w:r>
        <w:t xml:space="preserve">In this example, </w:t>
      </w:r>
      <w:r w:rsidR="00EC6524">
        <w:t xml:space="preserve">the regional food balance sheets indicate that several countries could be sources for regional procurement, depending on prices. During this period, </w:t>
      </w:r>
      <w:r w:rsidR="00720430">
        <w:t>Uganda and Tanzania we</w:t>
      </w:r>
      <w:r w:rsidR="00EC6524">
        <w:t xml:space="preserve">re major </w:t>
      </w:r>
      <w:r w:rsidR="006652C7">
        <w:t xml:space="preserve">net </w:t>
      </w:r>
      <w:r w:rsidR="00EC6524">
        <w:t>exporters of maize to other countries in East Africa (primarily Kenya) and to outside the region.</w:t>
      </w:r>
      <w:r w:rsidR="00D81CE7">
        <w:t xml:space="preserve"> </w:t>
      </w:r>
      <w:r w:rsidR="006652C7">
        <w:t xml:space="preserve">Rwanda exported some maize, but imported more from Uganda. Thus, Uganda and Tanzania, in 2008-2009, would be potential sources for regional procurement of food aid. </w:t>
      </w:r>
      <w:r w:rsidR="00D81CE7">
        <w:t>This helps answer MIFIRA questions 2a (Where are viable prospective source markets?) and 2b (Will agency purchases drive up food prices excessively in source markets?).</w:t>
      </w:r>
    </w:p>
    <w:p w14:paraId="6378633F" w14:textId="77777777" w:rsidR="004A2781" w:rsidRDefault="004A2781" w:rsidP="00A220EC"/>
    <w:p w14:paraId="6BCBA63A" w14:textId="2321F173" w:rsidR="00A220EC" w:rsidRPr="009245F0" w:rsidRDefault="00A220EC" w:rsidP="00A220EC">
      <w:pPr>
        <w:rPr>
          <w:i/>
          <w:u w:val="single"/>
        </w:rPr>
      </w:pPr>
      <w:r w:rsidRPr="009245F0">
        <w:rPr>
          <w:i/>
          <w:u w:val="single"/>
        </w:rPr>
        <w:t xml:space="preserve">Limitations of </w:t>
      </w:r>
      <w:r w:rsidR="009245F0">
        <w:rPr>
          <w:i/>
          <w:u w:val="single"/>
        </w:rPr>
        <w:t>food balance sheets</w:t>
      </w:r>
    </w:p>
    <w:p w14:paraId="48E46249" w14:textId="72DD1F3D" w:rsidR="006C7278" w:rsidRDefault="00A220EC" w:rsidP="00B5113A">
      <w:r w:rsidRPr="00144CA0">
        <w:t>There are a number of limitations associated with FBS.</w:t>
      </w:r>
    </w:p>
    <w:p w14:paraId="7D287AD6" w14:textId="6361E214" w:rsidR="00A220EC" w:rsidRDefault="00A220EC" w:rsidP="00A220EC">
      <w:pPr>
        <w:pStyle w:val="ListParagraph"/>
        <w:numPr>
          <w:ilvl w:val="0"/>
          <w:numId w:val="46"/>
        </w:numPr>
      </w:pPr>
      <w:r>
        <w:t xml:space="preserve">FBS are based </w:t>
      </w:r>
      <w:r w:rsidR="00E96F7E">
        <w:t>on</w:t>
      </w:r>
      <w:r>
        <w:t xml:space="preserve"> estimates and any FBS is only as good as the underlying estimates. Some estimates are less reliable than other</w:t>
      </w:r>
      <w:r w:rsidR="00E96F7E">
        <w:t>s</w:t>
      </w:r>
      <w:r>
        <w:t>. For example, roots and tubers production estimates are generally much weaker than maize production estimates. Similarly, there may be a larger margin of error associated with losses due to processing and waste than due to seed requirements.</w:t>
      </w:r>
    </w:p>
    <w:p w14:paraId="14FD5D5B" w14:textId="3D2B1041" w:rsidR="00A220EC" w:rsidRDefault="00A220EC" w:rsidP="00A220EC">
      <w:pPr>
        <w:pStyle w:val="ListParagraph"/>
        <w:numPr>
          <w:ilvl w:val="0"/>
          <w:numId w:val="46"/>
        </w:numPr>
      </w:pPr>
      <w:r>
        <w:t xml:space="preserve">FBS are not linked to prices, are often static and are available only </w:t>
      </w:r>
      <w:r w:rsidR="00E96F7E">
        <w:t xml:space="preserve">after </w:t>
      </w:r>
      <w:r>
        <w:t xml:space="preserve">a significant lag (typically at least one year). </w:t>
      </w:r>
    </w:p>
    <w:p w14:paraId="56F3180A" w14:textId="0B2C438B" w:rsidR="00A220EC" w:rsidRDefault="00A220EC" w:rsidP="00A220EC">
      <w:pPr>
        <w:pStyle w:val="ListParagraph"/>
        <w:numPr>
          <w:ilvl w:val="0"/>
          <w:numId w:val="46"/>
        </w:numPr>
      </w:pPr>
      <w:r>
        <w:lastRenderedPageBreak/>
        <w:t xml:space="preserve">Donovan et al. (2005) reports that governments may use FBS estimates to advocate for aid, and often there can be a large gap between </w:t>
      </w:r>
      <w:r w:rsidR="00EC7602">
        <w:t xml:space="preserve">official </w:t>
      </w:r>
      <w:r>
        <w:t xml:space="preserve">FBS estimates and other methods of estimating supply. </w:t>
      </w:r>
    </w:p>
    <w:p w14:paraId="7C9B6F72" w14:textId="107D6EC6" w:rsidR="006C7278" w:rsidRDefault="00A220EC" w:rsidP="00113EFF">
      <w:pPr>
        <w:pStyle w:val="ListParagraph"/>
        <w:numPr>
          <w:ilvl w:val="0"/>
          <w:numId w:val="46"/>
        </w:numPr>
      </w:pPr>
      <w:r>
        <w:t xml:space="preserve">Generally, FBS do not </w:t>
      </w:r>
      <w:r w:rsidR="00E96F7E">
        <w:t xml:space="preserve">take into account </w:t>
      </w:r>
      <w:r w:rsidR="00EC7602">
        <w:t xml:space="preserve">for </w:t>
      </w:r>
      <w:r>
        <w:t>informal trading</w:t>
      </w:r>
      <w:r w:rsidR="00B3004D">
        <w:t>, which is often endogenous</w:t>
      </w:r>
      <w:r w:rsidR="00910D5E">
        <w:t xml:space="preserve"> (i.e., informal imports may increase to reflect domestic production failures)</w:t>
      </w:r>
      <w:r>
        <w:t xml:space="preserve">. </w:t>
      </w:r>
    </w:p>
    <w:p w14:paraId="52477D13" w14:textId="128BC276" w:rsidR="006C7278" w:rsidRDefault="00A220EC" w:rsidP="00113EFF">
      <w:pPr>
        <w:pStyle w:val="ListParagraph"/>
        <w:numPr>
          <w:ilvl w:val="0"/>
          <w:numId w:val="46"/>
        </w:numPr>
      </w:pPr>
      <w:r>
        <w:t xml:space="preserve">FBS also do not examine what happens to the staple food gap when the staple price changes. </w:t>
      </w:r>
      <w:proofErr w:type="spellStart"/>
      <w:r>
        <w:t>Dorosh</w:t>
      </w:r>
      <w:proofErr w:type="spellEnd"/>
      <w:r>
        <w:t xml:space="preserve"> et al. (2006) argue that if estimates of staple supply do not adjust in the face of increased staple prices, the FBS will overstate food gaps by not recognizing that consumers will switch from the more expensive staple to substitutes. </w:t>
      </w:r>
    </w:p>
    <w:p w14:paraId="1B962F3A" w14:textId="77777777" w:rsidR="006C7278" w:rsidRDefault="006C7278" w:rsidP="006C7278">
      <w:pPr>
        <w:pStyle w:val="ListParagraph"/>
        <w:numPr>
          <w:ilvl w:val="0"/>
          <w:numId w:val="46"/>
        </w:numPr>
      </w:pPr>
      <w:r>
        <w:t xml:space="preserve">The FBS can be a useful starting point for understanding availability but will need to be complemented with information on import parity prices, harvest predictions, non-price trader constraints, and food policies that may shift production, consumption, or trade of commodities. This is particularly true for any new policies implemented since the most recently available FBS.  </w:t>
      </w:r>
    </w:p>
    <w:p w14:paraId="1C194B5F" w14:textId="06F1458B" w:rsidR="008F0BEC" w:rsidRDefault="008F0BEC" w:rsidP="006C7278">
      <w:pPr>
        <w:pStyle w:val="ListParagraph"/>
        <w:numPr>
          <w:ilvl w:val="0"/>
          <w:numId w:val="46"/>
        </w:numPr>
      </w:pPr>
      <w:r>
        <w:t>FBS may be a political document</w:t>
      </w:r>
      <w:r w:rsidR="0095794C">
        <w:t xml:space="preserve"> without very firm statistical foundations. Discretely ask experienced users of the country’s agricultural statistics about the reliability of the FBS to help inform your assessment of its reliability. </w:t>
      </w:r>
    </w:p>
    <w:p w14:paraId="720F5BF3" w14:textId="77777777" w:rsidR="006C7278" w:rsidRDefault="006C7278" w:rsidP="00B5113A">
      <w:pPr>
        <w:pStyle w:val="ListParagraph"/>
      </w:pPr>
    </w:p>
    <w:p w14:paraId="1C573095" w14:textId="77777777" w:rsidR="006F0EA7" w:rsidRDefault="006F0EA7" w:rsidP="006F0EA7">
      <w:r>
        <w:t>There are also a number of responses to FBS limitations. First, understand how each line item was estimated, and whether there are associated confidence bands around the estimates (e.g., the amount used for feed could be off by 5%). Discussions with major importers, wholesalers, or other key informants can help verify estimates, especially with respect to trade and can also help to identify how governments use the FBS.</w:t>
      </w:r>
    </w:p>
    <w:p w14:paraId="0BF3A03E" w14:textId="77777777" w:rsidR="006F0EA7" w:rsidRDefault="006F0EA7" w:rsidP="00A220EC"/>
    <w:p w14:paraId="19AB8D00" w14:textId="26B01412" w:rsidR="00A220EC" w:rsidRDefault="006F0EA7" w:rsidP="00A220EC">
      <w:r>
        <w:t>In response the</w:t>
      </w:r>
      <w:r w:rsidR="00A220EC">
        <w:t xml:space="preserve"> shortcomings</w:t>
      </w:r>
      <w:r>
        <w:t xml:space="preserve"> of FBS</w:t>
      </w:r>
      <w:r w:rsidR="00A220EC">
        <w:t xml:space="preserve">, ODAN </w:t>
      </w:r>
      <w:r w:rsidR="00C311C4">
        <w:t>–</w:t>
      </w:r>
      <w:r w:rsidR="00A220EC">
        <w:t xml:space="preserve"> WFP</w:t>
      </w:r>
      <w:r w:rsidR="00C311C4">
        <w:t xml:space="preserve"> (2007)</w:t>
      </w:r>
      <w:r w:rsidR="00A220EC">
        <w:t xml:space="preserve"> recommends using FBS to examin</w:t>
      </w:r>
      <w:r w:rsidR="00C311C4">
        <w:t>e changes, but not levels</w:t>
      </w:r>
      <w:r w:rsidR="00A220EC">
        <w:t xml:space="preserve">. </w:t>
      </w:r>
      <w:r w:rsidR="00647BC8">
        <w:t xml:space="preserve">One would then need to collect </w:t>
      </w:r>
      <w:r w:rsidR="00A220EC">
        <w:t xml:space="preserve">multi-year </w:t>
      </w:r>
      <w:r w:rsidR="00683B8E">
        <w:t xml:space="preserve">FBS figures </w:t>
      </w:r>
      <w:r w:rsidR="00647BC8">
        <w:t>and,</w:t>
      </w:r>
      <w:r w:rsidR="00A220EC">
        <w:t xml:space="preserve"> when feasible, </w:t>
      </w:r>
      <w:r w:rsidR="00683B8E">
        <w:t>examine</w:t>
      </w:r>
      <w:r w:rsidR="00A220EC">
        <w:t xml:space="preserve"> </w:t>
      </w:r>
      <w:r w:rsidR="00683B8E">
        <w:t>major commodities and their substitutes</w:t>
      </w:r>
      <w:r w:rsidR="00A220EC">
        <w:t>. For example, if maize is the preferred good, but households also consume sorghum when maize prices increase, consider combined maize and sorghum availability.</w:t>
      </w:r>
    </w:p>
    <w:p w14:paraId="79AF9261" w14:textId="77777777" w:rsidR="006F0EA7" w:rsidRDefault="006F0EA7" w:rsidP="00A220EC"/>
    <w:p w14:paraId="22DE7ECD" w14:textId="4BFEB0FC" w:rsidR="006F0EA7" w:rsidRDefault="006F0EA7" w:rsidP="00A220EC">
      <w:r>
        <w:t>Lastly, adjust the FBS to include informal trading, which is discussed further below.</w:t>
      </w:r>
    </w:p>
    <w:p w14:paraId="415F2231" w14:textId="77777777" w:rsidR="006F0EA7" w:rsidRDefault="006F0EA7" w:rsidP="00A220EC"/>
    <w:p w14:paraId="57C4A031" w14:textId="1CD8A479" w:rsidR="00A220EC" w:rsidRPr="006F0EA7" w:rsidRDefault="00A220EC" w:rsidP="00A220EC">
      <w:pPr>
        <w:rPr>
          <w:i/>
          <w:u w:val="single"/>
        </w:rPr>
      </w:pPr>
      <w:r w:rsidRPr="006F0EA7">
        <w:rPr>
          <w:i/>
          <w:u w:val="single"/>
        </w:rPr>
        <w:t xml:space="preserve">Sources of information on </w:t>
      </w:r>
      <w:r w:rsidR="006F0EA7">
        <w:rPr>
          <w:i/>
          <w:u w:val="single"/>
        </w:rPr>
        <w:t>food balance sheets</w:t>
      </w:r>
    </w:p>
    <w:p w14:paraId="2D425D2E" w14:textId="505D7D2F" w:rsidR="00A220EC" w:rsidRDefault="00A220EC" w:rsidP="00A220EC">
      <w:pPr>
        <w:pStyle w:val="ListParagraph"/>
        <w:numPr>
          <w:ilvl w:val="0"/>
          <w:numId w:val="32"/>
        </w:numPr>
      </w:pPr>
      <w:r>
        <w:t xml:space="preserve">FAO regularly assesses 20-25 countries with the intent of providing information on imminent food security problems. CFSAM assessments are commonly the most up-to-date and reliable source </w:t>
      </w:r>
      <w:r w:rsidR="00647BC8">
        <w:t xml:space="preserve">of </w:t>
      </w:r>
      <w:r>
        <w:t xml:space="preserve">food supply information, which is especially important for assessing question 2a but also helpful with 1c. </w:t>
      </w:r>
    </w:p>
    <w:p w14:paraId="65FD7E55" w14:textId="2D9842AD" w:rsidR="00A220EC" w:rsidRDefault="00A220EC" w:rsidP="00A220EC">
      <w:pPr>
        <w:pStyle w:val="ListParagraph"/>
        <w:numPr>
          <w:ilvl w:val="0"/>
          <w:numId w:val="32"/>
        </w:numPr>
      </w:pPr>
      <w:r>
        <w:t>Bureaus of Agriculture or Statistics may also make annual FBS available or can provide information on the agricultural sector in the national economy</w:t>
      </w:r>
      <w:r w:rsidR="00647BC8">
        <w:t>, including:</w:t>
      </w:r>
    </w:p>
    <w:p w14:paraId="48E46DCD" w14:textId="77777777" w:rsidR="00A220EC" w:rsidRDefault="00A220EC" w:rsidP="00A220EC">
      <w:pPr>
        <w:numPr>
          <w:ilvl w:val="1"/>
          <w:numId w:val="32"/>
        </w:numPr>
      </w:pPr>
      <w:r>
        <w:t>Size/share of the sector</w:t>
      </w:r>
    </w:p>
    <w:p w14:paraId="7E553307" w14:textId="77777777" w:rsidR="00A220EC" w:rsidRDefault="00A220EC" w:rsidP="00A220EC">
      <w:pPr>
        <w:numPr>
          <w:ilvl w:val="1"/>
          <w:numId w:val="32"/>
        </w:numPr>
      </w:pPr>
      <w:r>
        <w:lastRenderedPageBreak/>
        <w:t xml:space="preserve">Employment and livelihood dependence on the sector </w:t>
      </w:r>
    </w:p>
    <w:p w14:paraId="2593806A" w14:textId="77777777" w:rsidR="00A220EC" w:rsidRDefault="00A220EC" w:rsidP="00A220EC">
      <w:pPr>
        <w:numPr>
          <w:ilvl w:val="1"/>
          <w:numId w:val="32"/>
        </w:numPr>
      </w:pPr>
      <w:r>
        <w:t>Export contributions of agriculture</w:t>
      </w:r>
    </w:p>
    <w:p w14:paraId="26B23980" w14:textId="77777777" w:rsidR="00A220EC" w:rsidRDefault="00A220EC" w:rsidP="00A220EC">
      <w:pPr>
        <w:numPr>
          <w:ilvl w:val="1"/>
          <w:numId w:val="32"/>
        </w:numPr>
      </w:pPr>
      <w:r>
        <w:t>Agricultural and economic policy changes</w:t>
      </w:r>
    </w:p>
    <w:p w14:paraId="1E54B8EC" w14:textId="77777777" w:rsidR="00A220EC" w:rsidRDefault="00A220EC" w:rsidP="00A220EC">
      <w:pPr>
        <w:numPr>
          <w:ilvl w:val="1"/>
          <w:numId w:val="32"/>
        </w:numPr>
      </w:pPr>
      <w:r>
        <w:t>Crop production and food supply assessment</w:t>
      </w:r>
    </w:p>
    <w:p w14:paraId="0CFACE1E" w14:textId="65F68BAD" w:rsidR="004A2781" w:rsidRDefault="004A2781" w:rsidP="007035AF">
      <w:pPr>
        <w:pStyle w:val="ListParagraph"/>
        <w:numPr>
          <w:ilvl w:val="0"/>
          <w:numId w:val="32"/>
        </w:numPr>
      </w:pPr>
      <w:r>
        <w:t xml:space="preserve">Food balance sheets, if based on the previous year, should be updated with production predictions. Information on production can be obtained from Global Information and Early Warning System on food and agriculture (GIEWS: </w:t>
      </w:r>
      <w:hyperlink r:id="rId20" w:history="1">
        <w:r w:rsidRPr="002E1416">
          <w:t>http://www.fao.org/GIEWS/english/index.htm</w:t>
        </w:r>
      </w:hyperlink>
      <w:r>
        <w:t>).  GIEWS provides various early warning indicators by region. While not all indicators are available for all regions, possible indicators include: crop prospects and the food situation; satellite imagery of vegetation for all regions; cereal supply and demand balances; and, a list of low-income food deficit countries.</w:t>
      </w:r>
    </w:p>
    <w:p w14:paraId="3346EBE9" w14:textId="77777777" w:rsidR="00A220EC" w:rsidRDefault="00A220EC" w:rsidP="00A220EC"/>
    <w:p w14:paraId="3C7248F0" w14:textId="33D1A609" w:rsidR="00A220EC" w:rsidRPr="0037494A" w:rsidRDefault="008D2349" w:rsidP="00A220EC">
      <w:pPr>
        <w:rPr>
          <w:b/>
        </w:rPr>
      </w:pPr>
      <w:r>
        <w:rPr>
          <w:b/>
        </w:rPr>
        <w:t>Informal cross border t</w:t>
      </w:r>
      <w:r w:rsidR="00A220EC" w:rsidRPr="0037494A">
        <w:rPr>
          <w:b/>
        </w:rPr>
        <w:t>rade</w:t>
      </w:r>
    </w:p>
    <w:p w14:paraId="7977D6C3" w14:textId="1D84731F" w:rsidR="00A220EC" w:rsidRDefault="00A220EC" w:rsidP="00A220EC">
      <w:r>
        <w:t>Formal trade is subject to a variety of controls and regulations</w:t>
      </w:r>
      <w:r w:rsidR="002C7435">
        <w:t>,</w:t>
      </w:r>
      <w:r w:rsidR="00720013">
        <w:t xml:space="preserve"> </w:t>
      </w:r>
      <w:r w:rsidR="003A40AB">
        <w:t>which lead</w:t>
      </w:r>
      <w:r w:rsidR="00011B9A">
        <w:t xml:space="preserve"> some traders to use </w:t>
      </w:r>
      <w:r>
        <w:t>informal trade channels</w:t>
      </w:r>
      <w:r w:rsidR="00011B9A">
        <w:t xml:space="preserve"> to </w:t>
      </w:r>
      <w:r w:rsidR="002C7435">
        <w:t xml:space="preserve">circumvent such controls (e.g., import or export bans, sanitary and </w:t>
      </w:r>
      <w:proofErr w:type="spellStart"/>
      <w:r w:rsidR="002C7435">
        <w:t>phytosanitary</w:t>
      </w:r>
      <w:proofErr w:type="spellEnd"/>
      <w:r w:rsidR="002C7435">
        <w:t xml:space="preserve"> standards, tariffs, fluidity of borders, trader capacity, and seasonality)</w:t>
      </w:r>
      <w:r>
        <w:t>. For particular countries, informal trade volumes can be quite large. Some informal trade is “quasi-legal”, such as small traders regularly crossing borders unofficially to conduct small volume trade. Other informal trade</w:t>
      </w:r>
      <w:r w:rsidR="00011B9A">
        <w:t>, sometimes called “technical” smuggling,</w:t>
      </w:r>
      <w:r>
        <w:t xml:space="preserve"> employs explicitly illegal actions such as under-invoicing</w:t>
      </w:r>
      <w:r w:rsidR="00011B9A">
        <w:t xml:space="preserve"> and</w:t>
      </w:r>
      <w:r>
        <w:t xml:space="preserve"> bribery of customs officials</w:t>
      </w:r>
      <w:r w:rsidR="00011B9A">
        <w:t>. Technical smuggling</w:t>
      </w:r>
      <w:r w:rsidR="00AA34C7">
        <w:t xml:space="preserve"> can involve large volumes.</w:t>
      </w:r>
    </w:p>
    <w:p w14:paraId="05770163" w14:textId="77777777" w:rsidR="00A220EC" w:rsidRDefault="00A220EC" w:rsidP="00A220EC"/>
    <w:p w14:paraId="417CE0E5" w14:textId="571483D1" w:rsidR="00A220EC" w:rsidRPr="00AA34C7" w:rsidRDefault="00A220EC" w:rsidP="00A220EC">
      <w:pPr>
        <w:rPr>
          <w:i/>
        </w:rPr>
      </w:pPr>
      <w:r w:rsidRPr="00AA34C7">
        <w:rPr>
          <w:i/>
        </w:rPr>
        <w:t xml:space="preserve">How does </w:t>
      </w:r>
      <w:r w:rsidR="005D1693">
        <w:rPr>
          <w:i/>
        </w:rPr>
        <w:t>analyzing informal cross border trade</w:t>
      </w:r>
      <w:r w:rsidR="00721A83" w:rsidRPr="00AA34C7">
        <w:rPr>
          <w:i/>
        </w:rPr>
        <w:t xml:space="preserve"> </w:t>
      </w:r>
      <w:r w:rsidRPr="00AA34C7">
        <w:rPr>
          <w:i/>
        </w:rPr>
        <w:t>assist in answering th</w:t>
      </w:r>
      <w:r w:rsidR="00AA34C7">
        <w:rPr>
          <w:i/>
        </w:rPr>
        <w:t>e relevant MIFIRA sub-question?</w:t>
      </w:r>
    </w:p>
    <w:p w14:paraId="6ECC984A" w14:textId="2BB6F91B" w:rsidR="00A220EC" w:rsidRDefault="004900F7" w:rsidP="00A220EC">
      <w:r>
        <w:t xml:space="preserve">Studying informal trade patterns offers a useful check on official FBS data. </w:t>
      </w:r>
      <w:r w:rsidR="001C6670">
        <w:t xml:space="preserve">Including rough estimates of the size and net flow of informal trade is useful for determining whether particular countries could be suitable sites for local procurement. Where </w:t>
      </w:r>
      <w:r w:rsidR="00A220EC">
        <w:t>informal trade is a sizeable component of trade</w:t>
      </w:r>
      <w:r w:rsidR="001C6670">
        <w:t>,</w:t>
      </w:r>
      <w:r w:rsidR="00A220EC">
        <w:t xml:space="preserve"> the validity of FBS </w:t>
      </w:r>
      <w:r w:rsidR="001C6670">
        <w:t xml:space="preserve">may be in doubt. </w:t>
      </w:r>
    </w:p>
    <w:p w14:paraId="4671A284" w14:textId="77777777" w:rsidR="00A220EC" w:rsidRDefault="00A220EC" w:rsidP="00A220EC"/>
    <w:p w14:paraId="1D86CE37" w14:textId="125496CB" w:rsidR="00E75A65" w:rsidRPr="00E75A65" w:rsidRDefault="00E75A65" w:rsidP="00E75A65">
      <w:pPr>
        <w:rPr>
          <w:i/>
        </w:rPr>
      </w:pPr>
      <w:r w:rsidRPr="00E75A65">
        <w:rPr>
          <w:i/>
        </w:rPr>
        <w:t xml:space="preserve">How to compute / estimate </w:t>
      </w:r>
      <w:r w:rsidR="004C10A4">
        <w:rPr>
          <w:i/>
        </w:rPr>
        <w:t>informal cross border trade</w:t>
      </w:r>
    </w:p>
    <w:p w14:paraId="2A3581F5" w14:textId="09F811E7" w:rsidR="00321970" w:rsidRDefault="00E75A65" w:rsidP="00321970">
      <w:r>
        <w:t>In places with active informal cross border trading and parallel markets operating, compute flows and incorporate them into food balance sheets, particularly if production estimates only include flows in “official” channels.</w:t>
      </w:r>
      <w:r w:rsidR="00305C92">
        <w:t xml:space="preserve"> </w:t>
      </w:r>
      <w:r w:rsidR="00321970">
        <w:t xml:space="preserve">Key informant interviews with informal traders or individuals knowledgeable about informal trade (e.g., government ministers or larger regional traders who may interact with informal traders) may be able to provide approximate trade volumes and trader characteristics. </w:t>
      </w:r>
    </w:p>
    <w:p w14:paraId="11FCCC47" w14:textId="77777777" w:rsidR="00321970" w:rsidRDefault="00321970" w:rsidP="00A220EC"/>
    <w:p w14:paraId="5CBDE975" w14:textId="23447494" w:rsidR="00E75A65" w:rsidRDefault="00A220EC" w:rsidP="00A220EC">
      <w:r>
        <w:t>If informal cross border trade appears to be an important source of supply for the local markets of interest but there are no estimates of informal trade volumes, consider spending a day counting informal trade across a key border crossing, and asking a sample of informal traders about their volumes as they cross (identify key days for informal trade at particular crossings, which may reflect local market days). Aggregate volume by location (e.g., border crossing).</w:t>
      </w:r>
      <w:r w:rsidR="00E75A65">
        <w:t xml:space="preserve"> </w:t>
      </w:r>
    </w:p>
    <w:p w14:paraId="58098786" w14:textId="77777777" w:rsidR="00E75A65" w:rsidRDefault="00E75A65" w:rsidP="00A220EC"/>
    <w:p w14:paraId="10747FC4" w14:textId="7CB21CD8" w:rsidR="00A220EC" w:rsidRDefault="00E75A65" w:rsidP="00A220EC">
      <w:r>
        <w:t xml:space="preserve">FAO/GIEWS </w:t>
      </w:r>
      <w:r w:rsidRPr="00587A5A">
        <w:t>(1996) recommends assessing the opinions of receiving market traders about the order of magnitude of unre</w:t>
      </w:r>
      <w:r>
        <w:t>corded cross border trade and sampling</w:t>
      </w:r>
      <w:r w:rsidRPr="00587A5A">
        <w:t xml:space="preserve"> popular border crossing</w:t>
      </w:r>
      <w:r>
        <w:t>s</w:t>
      </w:r>
      <w:r w:rsidRPr="00587A5A">
        <w:t xml:space="preserve"> (counting the number and tonnage of trucks carrying cereals). </w:t>
      </w:r>
      <w:r w:rsidR="00A220EC">
        <w:t xml:space="preserve"> Also, collect information on the types and numbers of traders engaging in informal trade and any constraints faced by them. If possible, collect prices </w:t>
      </w:r>
      <w:r w:rsidR="002368EB">
        <w:t xml:space="preserve">on </w:t>
      </w:r>
      <w:r w:rsidR="00A220EC">
        <w:t xml:space="preserve">both sides of the borders to compute informal import parity prices. The average of the sample multiplied by the number of informal traders moving across the border can provide a rough estimate of the volume of trade at this border, for the season during which the trade is occurring. </w:t>
      </w:r>
    </w:p>
    <w:p w14:paraId="1870C6FC" w14:textId="77777777" w:rsidR="00A220EC" w:rsidRDefault="00A220EC" w:rsidP="00A220EC"/>
    <w:p w14:paraId="2431A6BB" w14:textId="67540D80" w:rsidR="00F64EA0" w:rsidRDefault="00F64EA0" w:rsidP="00F64EA0">
      <w:r>
        <w:t>In a few instances, monitoring projects may exist. The best example of regular, careful monitoring of cross border trade is the FEWS NET / WFP / FAO southern Africa Informal Cross Border Trade project. Below is a map indicating sites where informal trade is monitored.</w:t>
      </w:r>
    </w:p>
    <w:p w14:paraId="7B431EF5" w14:textId="77777777" w:rsidR="00A220EC" w:rsidRPr="00F64EA0" w:rsidRDefault="00A220EC" w:rsidP="00A220EC">
      <w:pPr>
        <w:rPr>
          <w:i/>
          <w:u w:val="single"/>
        </w:rPr>
      </w:pPr>
    </w:p>
    <w:p w14:paraId="5907981C" w14:textId="39BB9284" w:rsidR="00A220EC" w:rsidRPr="00B40FC7" w:rsidRDefault="00A220EC" w:rsidP="00A220EC">
      <w:r w:rsidRPr="00F64EA0">
        <w:rPr>
          <w:i/>
          <w:u w:val="single"/>
        </w:rPr>
        <w:t>FEW</w:t>
      </w:r>
      <w:r w:rsidR="002368EB" w:rsidRPr="00F64EA0">
        <w:rPr>
          <w:i/>
          <w:u w:val="single"/>
        </w:rPr>
        <w:t>S NET</w:t>
      </w:r>
      <w:r w:rsidRPr="00F64EA0">
        <w:rPr>
          <w:i/>
          <w:u w:val="single"/>
        </w:rPr>
        <w:t xml:space="preserve"> Informal Trade Monitoring Sites</w:t>
      </w:r>
      <w:r w:rsidRPr="00C923E9">
        <w:t xml:space="preserve"> </w:t>
      </w:r>
      <w:r>
        <w:rPr>
          <w:noProof/>
        </w:rPr>
        <w:drawing>
          <wp:inline distT="0" distB="0" distL="0" distR="0" wp14:anchorId="698615D1" wp14:editId="57FFE7D0">
            <wp:extent cx="5486400" cy="3196424"/>
            <wp:effectExtent l="2540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486400" cy="3196424"/>
                    </a:xfrm>
                    <a:prstGeom prst="rect">
                      <a:avLst/>
                    </a:prstGeom>
                    <a:noFill/>
                    <a:ln w="9525">
                      <a:noFill/>
                      <a:miter lim="800000"/>
                      <a:headEnd/>
                      <a:tailEnd/>
                    </a:ln>
                  </pic:spPr>
                </pic:pic>
              </a:graphicData>
            </a:graphic>
          </wp:inline>
        </w:drawing>
      </w:r>
    </w:p>
    <w:p w14:paraId="136354CC" w14:textId="6BF0B215" w:rsidR="00A220EC" w:rsidRPr="00943584" w:rsidRDefault="00A220EC" w:rsidP="00A220EC">
      <w:r w:rsidRPr="00943584">
        <w:t xml:space="preserve"> Source: </w:t>
      </w:r>
      <w:r w:rsidR="002368EB">
        <w:t>FEWS NET</w:t>
      </w:r>
      <w:r w:rsidR="002368EB" w:rsidRPr="00943584">
        <w:t xml:space="preserve"> </w:t>
      </w:r>
      <w:r w:rsidRPr="00943584">
        <w:t xml:space="preserve">2006 “Informal Cross Border Food Trade in Southern Africa” </w:t>
      </w:r>
      <w:proofErr w:type="spellStart"/>
      <w:r w:rsidRPr="00943584">
        <w:t>Vol</w:t>
      </w:r>
      <w:proofErr w:type="spellEnd"/>
      <w:r w:rsidRPr="00943584">
        <w:t xml:space="preserve"> 26. </w:t>
      </w:r>
    </w:p>
    <w:p w14:paraId="597F1514" w14:textId="77777777" w:rsidR="00A220EC" w:rsidRDefault="00A220EC" w:rsidP="00A220EC"/>
    <w:p w14:paraId="79BC5E5A" w14:textId="606CAF0C" w:rsidR="004779FB" w:rsidRDefault="00A220EC" w:rsidP="00A220EC">
      <w:r>
        <w:t>The volumes captured from these sites can be quite substantial</w:t>
      </w:r>
      <w:r w:rsidR="00E12842">
        <w:t xml:space="preserve">. </w:t>
      </w:r>
      <w:r w:rsidR="002368EB">
        <w:t xml:space="preserve">FEWS NET’s </w:t>
      </w:r>
      <w:r>
        <w:t xml:space="preserve">capture of maize trade in southern Africa allows us to update Malawi’s FBS. </w:t>
      </w:r>
      <w:r w:rsidR="002368EB">
        <w:t xml:space="preserve"> </w:t>
      </w:r>
      <w:r>
        <w:t xml:space="preserve">The above FAO estimate of imports into Malawi in 2005 was 125,000 metric tons. </w:t>
      </w:r>
      <w:r w:rsidR="002368EB">
        <w:t xml:space="preserve">FEWS NET’s </w:t>
      </w:r>
      <w:r>
        <w:t>quarterly data aggregated across 2005 shows that</w:t>
      </w:r>
      <w:r w:rsidR="00EE4CE2">
        <w:t>, net,</w:t>
      </w:r>
      <w:r>
        <w:t xml:space="preserve"> at least 121</w:t>
      </w:r>
      <w:r w:rsidRPr="002E76DC">
        <w:t>,000 metric</w:t>
      </w:r>
      <w:r>
        <w:t xml:space="preserve"> tons of maize flowed informally into Malawi for 2005, almost equivalent to the amount of formal imports. </w:t>
      </w:r>
      <w:r w:rsidR="00F3660A">
        <w:t>This estim</w:t>
      </w:r>
      <w:r w:rsidR="00851422">
        <w:t>ate includes only maize imported through border crossings with</w:t>
      </w:r>
      <w:r w:rsidR="00F3660A">
        <w:t xml:space="preserve"> monitoring sites. While no scale-up is available for sites missed, it does indicate that a sizable volume of food moved into Malawi. </w:t>
      </w:r>
    </w:p>
    <w:p w14:paraId="270FAAEE" w14:textId="77777777" w:rsidR="004779FB" w:rsidRDefault="004779FB" w:rsidP="00A220EC"/>
    <w:p w14:paraId="004441F1" w14:textId="076E02B4" w:rsidR="00F64EA0" w:rsidRDefault="004779FB" w:rsidP="00A220EC">
      <w:r>
        <w:t>In</w:t>
      </w:r>
      <w:r w:rsidR="00A220EC">
        <w:t>corporating informal trade into Malawi substantially increases Malawi’s domestic maize availability and suggests that reliance on FBS</w:t>
      </w:r>
      <w:r w:rsidR="00DB01E9">
        <w:t xml:space="preserve"> alone</w:t>
      </w:r>
      <w:r w:rsidR="00A220EC">
        <w:t xml:space="preserve"> will overstate Malawi’s domestic availability shortfall.</w:t>
      </w:r>
      <w:r w:rsidR="00F64EA0">
        <w:t xml:space="preserve"> </w:t>
      </w:r>
    </w:p>
    <w:p w14:paraId="6848D68F" w14:textId="77777777" w:rsidR="00A220EC" w:rsidRDefault="00A220EC" w:rsidP="00A220EC"/>
    <w:p w14:paraId="4D5C2482" w14:textId="553EAC81" w:rsidR="00A220EC" w:rsidRPr="00F42431" w:rsidRDefault="00EE4CE2" w:rsidP="00A220EC">
      <w:pPr>
        <w:rPr>
          <w:b/>
        </w:rPr>
      </w:pPr>
      <w:r>
        <w:rPr>
          <w:b/>
        </w:rPr>
        <w:t>Net i</w:t>
      </w:r>
      <w:r w:rsidR="00A220EC" w:rsidRPr="00F42431">
        <w:rPr>
          <w:b/>
        </w:rPr>
        <w:t>nformal cross border imports into Malawi in 2005</w:t>
      </w:r>
    </w:p>
    <w:p w14:paraId="40269801" w14:textId="77777777" w:rsidR="005A6F55" w:rsidRDefault="005A6F55" w:rsidP="00A220EC"/>
    <w:tbl>
      <w:tblPr>
        <w:tblW w:w="7710" w:type="dxa"/>
        <w:tblInd w:w="93" w:type="dxa"/>
        <w:tblLook w:val="0600" w:firstRow="0" w:lastRow="0" w:firstColumn="0" w:lastColumn="0" w:noHBand="1" w:noVBand="1"/>
      </w:tblPr>
      <w:tblGrid>
        <w:gridCol w:w="2670"/>
        <w:gridCol w:w="945"/>
        <w:gridCol w:w="925"/>
        <w:gridCol w:w="925"/>
        <w:gridCol w:w="1075"/>
        <w:gridCol w:w="1170"/>
      </w:tblGrid>
      <w:tr w:rsidR="005A6F55" w:rsidRPr="005A6F55" w14:paraId="4159B572" w14:textId="77777777" w:rsidTr="005A6F55">
        <w:trPr>
          <w:trHeight w:val="820"/>
        </w:trPr>
        <w:tc>
          <w:tcPr>
            <w:tcW w:w="2670" w:type="dxa"/>
            <w:tcBorders>
              <w:top w:val="nil"/>
              <w:left w:val="nil"/>
              <w:bottom w:val="nil"/>
              <w:right w:val="nil"/>
            </w:tcBorders>
            <w:shd w:val="clear" w:color="auto" w:fill="auto"/>
            <w:vAlign w:val="bottom"/>
            <w:hideMark/>
          </w:tcPr>
          <w:p w14:paraId="207CC420" w14:textId="77777777" w:rsidR="005A6F55" w:rsidRPr="005A6F55" w:rsidRDefault="005A6F55" w:rsidP="005A6F55">
            <w:pPr>
              <w:jc w:val="right"/>
              <w:rPr>
                <w:rFonts w:ascii="Arial" w:eastAsia="Times New Roman" w:hAnsi="Arial" w:cs="Arial"/>
                <w:sz w:val="20"/>
                <w:szCs w:val="20"/>
              </w:rPr>
            </w:pPr>
          </w:p>
        </w:tc>
        <w:tc>
          <w:tcPr>
            <w:tcW w:w="945" w:type="dxa"/>
            <w:tcBorders>
              <w:top w:val="nil"/>
              <w:left w:val="nil"/>
              <w:bottom w:val="nil"/>
              <w:right w:val="nil"/>
            </w:tcBorders>
            <w:shd w:val="clear" w:color="auto" w:fill="auto"/>
            <w:vAlign w:val="bottom"/>
            <w:hideMark/>
          </w:tcPr>
          <w:p w14:paraId="6D7CD591" w14:textId="77777777" w:rsidR="005A6F55" w:rsidRPr="005A6F55" w:rsidRDefault="005A6F55" w:rsidP="005A6F55">
            <w:pPr>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Jan-Mar</w:t>
            </w:r>
          </w:p>
        </w:tc>
        <w:tc>
          <w:tcPr>
            <w:tcW w:w="925" w:type="dxa"/>
            <w:tcBorders>
              <w:top w:val="nil"/>
              <w:left w:val="nil"/>
              <w:bottom w:val="nil"/>
              <w:right w:val="nil"/>
            </w:tcBorders>
            <w:shd w:val="clear" w:color="auto" w:fill="auto"/>
            <w:vAlign w:val="bottom"/>
            <w:hideMark/>
          </w:tcPr>
          <w:p w14:paraId="691A02A0" w14:textId="77777777" w:rsidR="005A6F55" w:rsidRPr="005A6F55" w:rsidRDefault="005A6F55" w:rsidP="005A6F55">
            <w:pPr>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Apr-Jun</w:t>
            </w:r>
          </w:p>
        </w:tc>
        <w:tc>
          <w:tcPr>
            <w:tcW w:w="925" w:type="dxa"/>
            <w:tcBorders>
              <w:top w:val="nil"/>
              <w:left w:val="nil"/>
              <w:bottom w:val="nil"/>
              <w:right w:val="nil"/>
            </w:tcBorders>
            <w:shd w:val="clear" w:color="auto" w:fill="auto"/>
            <w:vAlign w:val="bottom"/>
            <w:hideMark/>
          </w:tcPr>
          <w:p w14:paraId="25E3A425" w14:textId="77777777" w:rsidR="005A6F55" w:rsidRPr="005A6F55" w:rsidRDefault="005A6F55" w:rsidP="005A6F55">
            <w:pPr>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Jul-Sep</w:t>
            </w:r>
          </w:p>
        </w:tc>
        <w:tc>
          <w:tcPr>
            <w:tcW w:w="1075" w:type="dxa"/>
            <w:tcBorders>
              <w:top w:val="nil"/>
              <w:left w:val="nil"/>
              <w:bottom w:val="nil"/>
              <w:right w:val="nil"/>
            </w:tcBorders>
            <w:shd w:val="clear" w:color="auto" w:fill="auto"/>
            <w:vAlign w:val="bottom"/>
            <w:hideMark/>
          </w:tcPr>
          <w:p w14:paraId="291CE820" w14:textId="77777777" w:rsidR="005A6F55" w:rsidRPr="005A6F55" w:rsidRDefault="005A6F55" w:rsidP="005A6F55">
            <w:pPr>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Oct-Dec</w:t>
            </w:r>
          </w:p>
        </w:tc>
        <w:tc>
          <w:tcPr>
            <w:tcW w:w="1170" w:type="dxa"/>
            <w:tcBorders>
              <w:top w:val="nil"/>
              <w:left w:val="nil"/>
              <w:bottom w:val="nil"/>
              <w:right w:val="nil"/>
            </w:tcBorders>
            <w:shd w:val="clear" w:color="auto" w:fill="auto"/>
            <w:vAlign w:val="bottom"/>
            <w:hideMark/>
          </w:tcPr>
          <w:p w14:paraId="5501CE71" w14:textId="77777777" w:rsidR="005A6F55" w:rsidRPr="005A6F55" w:rsidRDefault="005A6F55" w:rsidP="005A6F55">
            <w:pPr>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Total</w:t>
            </w:r>
          </w:p>
        </w:tc>
      </w:tr>
      <w:tr w:rsidR="005A6F55" w:rsidRPr="005A6F55" w14:paraId="190D4B2C" w14:textId="77777777" w:rsidTr="005A6F55">
        <w:trPr>
          <w:trHeight w:val="420"/>
        </w:trPr>
        <w:tc>
          <w:tcPr>
            <w:tcW w:w="2670" w:type="dxa"/>
            <w:tcBorders>
              <w:top w:val="nil"/>
              <w:left w:val="nil"/>
              <w:bottom w:val="nil"/>
              <w:right w:val="nil"/>
            </w:tcBorders>
            <w:shd w:val="clear" w:color="auto" w:fill="auto"/>
            <w:vAlign w:val="bottom"/>
            <w:hideMark/>
          </w:tcPr>
          <w:p w14:paraId="29929B93" w14:textId="77777777" w:rsidR="005A6F55" w:rsidRPr="005A6F55" w:rsidRDefault="005A6F55" w:rsidP="005A6F55">
            <w:pPr>
              <w:rPr>
                <w:rFonts w:ascii="Arial" w:eastAsia="Times New Roman" w:hAnsi="Arial" w:cs="Arial"/>
                <w:b/>
                <w:bCs/>
                <w:sz w:val="20"/>
                <w:szCs w:val="20"/>
              </w:rPr>
            </w:pPr>
            <w:r w:rsidRPr="005A6F55">
              <w:rPr>
                <w:rFonts w:ascii="Arial" w:eastAsia="Times New Roman" w:hAnsi="Arial" w:cs="Arial"/>
                <w:b/>
                <w:bCs/>
                <w:sz w:val="20"/>
                <w:szCs w:val="20"/>
              </w:rPr>
              <w:t>Imports to Malawi</w:t>
            </w:r>
          </w:p>
        </w:tc>
        <w:tc>
          <w:tcPr>
            <w:tcW w:w="945" w:type="dxa"/>
            <w:tcBorders>
              <w:top w:val="nil"/>
              <w:left w:val="nil"/>
              <w:bottom w:val="nil"/>
              <w:right w:val="nil"/>
            </w:tcBorders>
            <w:shd w:val="clear" w:color="auto" w:fill="auto"/>
            <w:vAlign w:val="bottom"/>
            <w:hideMark/>
          </w:tcPr>
          <w:p w14:paraId="786722FA" w14:textId="77777777" w:rsidR="005A6F55" w:rsidRPr="005A6F55" w:rsidRDefault="005A6F55" w:rsidP="005A6F55">
            <w:pPr>
              <w:rPr>
                <w:rFonts w:ascii="Verdana" w:eastAsia="Times New Roman" w:hAnsi="Verdana" w:cs="Times New Roman"/>
                <w:b/>
                <w:bCs/>
                <w:color w:val="000000"/>
                <w:sz w:val="20"/>
                <w:szCs w:val="20"/>
              </w:rPr>
            </w:pPr>
          </w:p>
        </w:tc>
        <w:tc>
          <w:tcPr>
            <w:tcW w:w="925" w:type="dxa"/>
            <w:tcBorders>
              <w:top w:val="nil"/>
              <w:left w:val="nil"/>
              <w:bottom w:val="nil"/>
              <w:right w:val="nil"/>
            </w:tcBorders>
            <w:shd w:val="clear" w:color="auto" w:fill="auto"/>
            <w:vAlign w:val="bottom"/>
            <w:hideMark/>
          </w:tcPr>
          <w:p w14:paraId="27B5C316" w14:textId="77777777" w:rsidR="005A6F55" w:rsidRPr="005A6F55" w:rsidRDefault="005A6F55" w:rsidP="005A6F55">
            <w:pPr>
              <w:rPr>
                <w:rFonts w:ascii="Verdana" w:eastAsia="Times New Roman" w:hAnsi="Verdana" w:cs="Times New Roman"/>
                <w:b/>
                <w:bCs/>
                <w:color w:val="000000"/>
                <w:sz w:val="20"/>
                <w:szCs w:val="20"/>
              </w:rPr>
            </w:pPr>
          </w:p>
        </w:tc>
        <w:tc>
          <w:tcPr>
            <w:tcW w:w="925" w:type="dxa"/>
            <w:tcBorders>
              <w:top w:val="nil"/>
              <w:left w:val="nil"/>
              <w:bottom w:val="nil"/>
              <w:right w:val="nil"/>
            </w:tcBorders>
            <w:shd w:val="clear" w:color="auto" w:fill="auto"/>
            <w:vAlign w:val="bottom"/>
            <w:hideMark/>
          </w:tcPr>
          <w:p w14:paraId="0309FCFC" w14:textId="77777777" w:rsidR="005A6F55" w:rsidRPr="005A6F55" w:rsidRDefault="005A6F55" w:rsidP="005A6F55">
            <w:pPr>
              <w:rPr>
                <w:rFonts w:ascii="Verdana" w:eastAsia="Times New Roman" w:hAnsi="Verdana" w:cs="Times New Roman"/>
                <w:b/>
                <w:bCs/>
                <w:color w:val="000000"/>
                <w:sz w:val="20"/>
                <w:szCs w:val="20"/>
              </w:rPr>
            </w:pPr>
          </w:p>
        </w:tc>
        <w:tc>
          <w:tcPr>
            <w:tcW w:w="1075" w:type="dxa"/>
            <w:tcBorders>
              <w:top w:val="nil"/>
              <w:left w:val="nil"/>
              <w:bottom w:val="nil"/>
              <w:right w:val="nil"/>
            </w:tcBorders>
            <w:shd w:val="clear" w:color="auto" w:fill="auto"/>
            <w:vAlign w:val="bottom"/>
            <w:hideMark/>
          </w:tcPr>
          <w:p w14:paraId="313B08CB" w14:textId="77777777" w:rsidR="005A6F55" w:rsidRPr="005A6F55" w:rsidRDefault="005A6F55" w:rsidP="005A6F55">
            <w:pPr>
              <w:rPr>
                <w:rFonts w:ascii="Verdana" w:eastAsia="Times New Roman" w:hAnsi="Verdana" w:cs="Times New Roman"/>
                <w:b/>
                <w:bCs/>
                <w:color w:val="000000"/>
                <w:sz w:val="20"/>
                <w:szCs w:val="20"/>
              </w:rPr>
            </w:pPr>
          </w:p>
        </w:tc>
        <w:tc>
          <w:tcPr>
            <w:tcW w:w="1170" w:type="dxa"/>
            <w:tcBorders>
              <w:top w:val="nil"/>
              <w:left w:val="nil"/>
              <w:bottom w:val="nil"/>
              <w:right w:val="nil"/>
            </w:tcBorders>
            <w:shd w:val="clear" w:color="auto" w:fill="auto"/>
            <w:vAlign w:val="bottom"/>
            <w:hideMark/>
          </w:tcPr>
          <w:p w14:paraId="40CD24E5" w14:textId="77777777" w:rsidR="005A6F55" w:rsidRPr="005A6F55" w:rsidRDefault="005A6F55" w:rsidP="005A6F55">
            <w:pPr>
              <w:rPr>
                <w:rFonts w:ascii="Verdana" w:eastAsia="Times New Roman" w:hAnsi="Verdana" w:cs="Times New Roman"/>
                <w:b/>
                <w:bCs/>
                <w:color w:val="000000"/>
                <w:sz w:val="20"/>
                <w:szCs w:val="20"/>
              </w:rPr>
            </w:pPr>
          </w:p>
        </w:tc>
      </w:tr>
      <w:tr w:rsidR="005A6F55" w:rsidRPr="005A6F55" w14:paraId="4A653EAE" w14:textId="77777777" w:rsidTr="005A6F55">
        <w:trPr>
          <w:trHeight w:val="400"/>
        </w:trPr>
        <w:tc>
          <w:tcPr>
            <w:tcW w:w="2670" w:type="dxa"/>
            <w:tcBorders>
              <w:top w:val="nil"/>
              <w:left w:val="nil"/>
              <w:bottom w:val="nil"/>
              <w:right w:val="nil"/>
            </w:tcBorders>
            <w:shd w:val="clear" w:color="auto" w:fill="auto"/>
            <w:vAlign w:val="bottom"/>
            <w:hideMark/>
          </w:tcPr>
          <w:p w14:paraId="2E0992A1" w14:textId="77777777" w:rsidR="005A6F55" w:rsidRPr="005A6F55" w:rsidRDefault="005A6F55" w:rsidP="005A6F55">
            <w:pPr>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Mozambique to Malawi</w:t>
            </w:r>
          </w:p>
        </w:tc>
        <w:tc>
          <w:tcPr>
            <w:tcW w:w="945" w:type="dxa"/>
            <w:tcBorders>
              <w:top w:val="nil"/>
              <w:left w:val="nil"/>
              <w:bottom w:val="nil"/>
              <w:right w:val="nil"/>
            </w:tcBorders>
            <w:shd w:val="clear" w:color="auto" w:fill="auto"/>
            <w:vAlign w:val="bottom"/>
            <w:hideMark/>
          </w:tcPr>
          <w:p w14:paraId="404AF471"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17,438</w:t>
            </w:r>
          </w:p>
        </w:tc>
        <w:tc>
          <w:tcPr>
            <w:tcW w:w="925" w:type="dxa"/>
            <w:tcBorders>
              <w:top w:val="nil"/>
              <w:left w:val="nil"/>
              <w:bottom w:val="nil"/>
              <w:right w:val="nil"/>
            </w:tcBorders>
            <w:shd w:val="clear" w:color="auto" w:fill="auto"/>
            <w:vAlign w:val="bottom"/>
            <w:hideMark/>
          </w:tcPr>
          <w:p w14:paraId="1690779B"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29,064</w:t>
            </w:r>
          </w:p>
        </w:tc>
        <w:tc>
          <w:tcPr>
            <w:tcW w:w="925" w:type="dxa"/>
            <w:tcBorders>
              <w:top w:val="nil"/>
              <w:left w:val="nil"/>
              <w:bottom w:val="nil"/>
              <w:right w:val="nil"/>
            </w:tcBorders>
            <w:shd w:val="clear" w:color="auto" w:fill="auto"/>
            <w:vAlign w:val="bottom"/>
            <w:hideMark/>
          </w:tcPr>
          <w:p w14:paraId="3F494602"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26,866</w:t>
            </w:r>
          </w:p>
        </w:tc>
        <w:tc>
          <w:tcPr>
            <w:tcW w:w="1075" w:type="dxa"/>
            <w:tcBorders>
              <w:top w:val="nil"/>
              <w:left w:val="nil"/>
              <w:bottom w:val="nil"/>
              <w:right w:val="nil"/>
            </w:tcBorders>
            <w:shd w:val="clear" w:color="auto" w:fill="auto"/>
            <w:vAlign w:val="bottom"/>
            <w:hideMark/>
          </w:tcPr>
          <w:p w14:paraId="790F8640"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8981</w:t>
            </w:r>
          </w:p>
        </w:tc>
        <w:tc>
          <w:tcPr>
            <w:tcW w:w="1170" w:type="dxa"/>
            <w:tcBorders>
              <w:top w:val="nil"/>
              <w:left w:val="nil"/>
              <w:bottom w:val="nil"/>
              <w:right w:val="nil"/>
            </w:tcBorders>
            <w:shd w:val="clear" w:color="auto" w:fill="auto"/>
            <w:vAlign w:val="bottom"/>
            <w:hideMark/>
          </w:tcPr>
          <w:p w14:paraId="639E490C"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82,349</w:t>
            </w:r>
          </w:p>
        </w:tc>
      </w:tr>
      <w:tr w:rsidR="005A6F55" w:rsidRPr="005A6F55" w14:paraId="2CFD1599" w14:textId="77777777" w:rsidTr="005A6F55">
        <w:trPr>
          <w:trHeight w:val="400"/>
        </w:trPr>
        <w:tc>
          <w:tcPr>
            <w:tcW w:w="2670" w:type="dxa"/>
            <w:tcBorders>
              <w:top w:val="nil"/>
              <w:left w:val="nil"/>
              <w:bottom w:val="nil"/>
              <w:right w:val="nil"/>
            </w:tcBorders>
            <w:shd w:val="clear" w:color="auto" w:fill="auto"/>
            <w:vAlign w:val="bottom"/>
            <w:hideMark/>
          </w:tcPr>
          <w:p w14:paraId="29227394" w14:textId="77777777" w:rsidR="005A6F55" w:rsidRPr="005A6F55" w:rsidRDefault="005A6F55" w:rsidP="005A6F55">
            <w:pPr>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Tanzania to Malawi</w:t>
            </w:r>
          </w:p>
        </w:tc>
        <w:tc>
          <w:tcPr>
            <w:tcW w:w="945" w:type="dxa"/>
            <w:tcBorders>
              <w:top w:val="nil"/>
              <w:left w:val="nil"/>
              <w:bottom w:val="nil"/>
              <w:right w:val="nil"/>
            </w:tcBorders>
            <w:shd w:val="clear" w:color="auto" w:fill="auto"/>
            <w:vAlign w:val="bottom"/>
            <w:hideMark/>
          </w:tcPr>
          <w:p w14:paraId="29B8AA7E"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2395</w:t>
            </w:r>
          </w:p>
        </w:tc>
        <w:tc>
          <w:tcPr>
            <w:tcW w:w="925" w:type="dxa"/>
            <w:tcBorders>
              <w:top w:val="nil"/>
              <w:left w:val="nil"/>
              <w:bottom w:val="nil"/>
              <w:right w:val="nil"/>
            </w:tcBorders>
            <w:shd w:val="clear" w:color="auto" w:fill="auto"/>
            <w:vAlign w:val="bottom"/>
            <w:hideMark/>
          </w:tcPr>
          <w:p w14:paraId="2C716051"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471</w:t>
            </w:r>
          </w:p>
        </w:tc>
        <w:tc>
          <w:tcPr>
            <w:tcW w:w="925" w:type="dxa"/>
            <w:tcBorders>
              <w:top w:val="nil"/>
              <w:left w:val="nil"/>
              <w:bottom w:val="nil"/>
              <w:right w:val="nil"/>
            </w:tcBorders>
            <w:shd w:val="clear" w:color="auto" w:fill="auto"/>
            <w:vAlign w:val="bottom"/>
            <w:hideMark/>
          </w:tcPr>
          <w:p w14:paraId="1488D447"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1211</w:t>
            </w:r>
          </w:p>
        </w:tc>
        <w:tc>
          <w:tcPr>
            <w:tcW w:w="1075" w:type="dxa"/>
            <w:tcBorders>
              <w:top w:val="nil"/>
              <w:left w:val="nil"/>
              <w:bottom w:val="nil"/>
              <w:right w:val="nil"/>
            </w:tcBorders>
            <w:shd w:val="clear" w:color="auto" w:fill="auto"/>
            <w:vAlign w:val="bottom"/>
            <w:hideMark/>
          </w:tcPr>
          <w:p w14:paraId="60445AE4"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33,601</w:t>
            </w:r>
          </w:p>
        </w:tc>
        <w:tc>
          <w:tcPr>
            <w:tcW w:w="1170" w:type="dxa"/>
            <w:tcBorders>
              <w:top w:val="nil"/>
              <w:left w:val="nil"/>
              <w:bottom w:val="nil"/>
              <w:right w:val="nil"/>
            </w:tcBorders>
            <w:shd w:val="clear" w:color="auto" w:fill="auto"/>
            <w:vAlign w:val="bottom"/>
            <w:hideMark/>
          </w:tcPr>
          <w:p w14:paraId="395FD863"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37,678</w:t>
            </w:r>
          </w:p>
        </w:tc>
      </w:tr>
      <w:tr w:rsidR="005A6F55" w:rsidRPr="005A6F55" w14:paraId="4F1BDEFD" w14:textId="77777777" w:rsidTr="005A6F55">
        <w:trPr>
          <w:trHeight w:val="400"/>
        </w:trPr>
        <w:tc>
          <w:tcPr>
            <w:tcW w:w="2670" w:type="dxa"/>
            <w:tcBorders>
              <w:top w:val="nil"/>
              <w:left w:val="nil"/>
              <w:bottom w:val="nil"/>
              <w:right w:val="nil"/>
            </w:tcBorders>
            <w:shd w:val="clear" w:color="auto" w:fill="auto"/>
            <w:vAlign w:val="bottom"/>
            <w:hideMark/>
          </w:tcPr>
          <w:p w14:paraId="04325AF0" w14:textId="77777777" w:rsidR="005A6F55" w:rsidRPr="005A6F55" w:rsidRDefault="005A6F55" w:rsidP="005A6F55">
            <w:pPr>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Zambia to Malawi</w:t>
            </w:r>
          </w:p>
        </w:tc>
        <w:tc>
          <w:tcPr>
            <w:tcW w:w="945" w:type="dxa"/>
            <w:tcBorders>
              <w:top w:val="nil"/>
              <w:left w:val="nil"/>
              <w:bottom w:val="nil"/>
              <w:right w:val="nil"/>
            </w:tcBorders>
            <w:shd w:val="clear" w:color="auto" w:fill="auto"/>
            <w:vAlign w:val="bottom"/>
            <w:hideMark/>
          </w:tcPr>
          <w:p w14:paraId="1AD76030"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760</w:t>
            </w:r>
          </w:p>
        </w:tc>
        <w:tc>
          <w:tcPr>
            <w:tcW w:w="925" w:type="dxa"/>
            <w:tcBorders>
              <w:top w:val="nil"/>
              <w:left w:val="nil"/>
              <w:bottom w:val="nil"/>
              <w:right w:val="nil"/>
            </w:tcBorders>
            <w:shd w:val="clear" w:color="auto" w:fill="auto"/>
            <w:vAlign w:val="bottom"/>
            <w:hideMark/>
          </w:tcPr>
          <w:p w14:paraId="5391D15A"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34</w:t>
            </w:r>
          </w:p>
        </w:tc>
        <w:tc>
          <w:tcPr>
            <w:tcW w:w="925" w:type="dxa"/>
            <w:tcBorders>
              <w:top w:val="nil"/>
              <w:left w:val="nil"/>
              <w:bottom w:val="nil"/>
              <w:right w:val="nil"/>
            </w:tcBorders>
            <w:shd w:val="clear" w:color="auto" w:fill="auto"/>
            <w:vAlign w:val="bottom"/>
            <w:hideMark/>
          </w:tcPr>
          <w:p w14:paraId="1C194137"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36</w:t>
            </w:r>
          </w:p>
        </w:tc>
        <w:tc>
          <w:tcPr>
            <w:tcW w:w="1075" w:type="dxa"/>
            <w:tcBorders>
              <w:top w:val="nil"/>
              <w:left w:val="nil"/>
              <w:bottom w:val="nil"/>
              <w:right w:val="nil"/>
            </w:tcBorders>
            <w:shd w:val="clear" w:color="auto" w:fill="auto"/>
            <w:vAlign w:val="bottom"/>
            <w:hideMark/>
          </w:tcPr>
          <w:p w14:paraId="0FE79474"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349</w:t>
            </w:r>
          </w:p>
        </w:tc>
        <w:tc>
          <w:tcPr>
            <w:tcW w:w="1170" w:type="dxa"/>
            <w:tcBorders>
              <w:top w:val="nil"/>
              <w:left w:val="nil"/>
              <w:bottom w:val="nil"/>
              <w:right w:val="nil"/>
            </w:tcBorders>
            <w:shd w:val="clear" w:color="auto" w:fill="auto"/>
            <w:vAlign w:val="bottom"/>
            <w:hideMark/>
          </w:tcPr>
          <w:p w14:paraId="4236E5D4"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1179</w:t>
            </w:r>
          </w:p>
        </w:tc>
      </w:tr>
      <w:tr w:rsidR="005A6F55" w:rsidRPr="005A6F55" w14:paraId="2DDC1935" w14:textId="77777777" w:rsidTr="005A6F55">
        <w:trPr>
          <w:trHeight w:val="400"/>
        </w:trPr>
        <w:tc>
          <w:tcPr>
            <w:tcW w:w="2670" w:type="dxa"/>
            <w:tcBorders>
              <w:top w:val="nil"/>
              <w:left w:val="nil"/>
              <w:bottom w:val="nil"/>
              <w:right w:val="nil"/>
            </w:tcBorders>
            <w:shd w:val="clear" w:color="auto" w:fill="auto"/>
            <w:vAlign w:val="bottom"/>
            <w:hideMark/>
          </w:tcPr>
          <w:p w14:paraId="7B467C1A" w14:textId="77777777" w:rsidR="005A6F55" w:rsidRPr="005A6F55" w:rsidRDefault="005A6F55" w:rsidP="005A6F55">
            <w:pPr>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Exports from Malawi</w:t>
            </w:r>
          </w:p>
        </w:tc>
        <w:tc>
          <w:tcPr>
            <w:tcW w:w="945" w:type="dxa"/>
            <w:tcBorders>
              <w:top w:val="nil"/>
              <w:left w:val="nil"/>
              <w:bottom w:val="nil"/>
              <w:right w:val="nil"/>
            </w:tcBorders>
            <w:shd w:val="clear" w:color="auto" w:fill="auto"/>
            <w:vAlign w:val="bottom"/>
            <w:hideMark/>
          </w:tcPr>
          <w:p w14:paraId="5A13FCBC" w14:textId="77777777" w:rsidR="005A6F55" w:rsidRPr="005A6F55" w:rsidRDefault="005A6F55" w:rsidP="005A6F55">
            <w:pPr>
              <w:jc w:val="right"/>
              <w:rPr>
                <w:rFonts w:ascii="Verdana" w:eastAsia="Times New Roman" w:hAnsi="Verdana" w:cs="Times New Roman"/>
                <w:color w:val="000000"/>
                <w:sz w:val="20"/>
                <w:szCs w:val="20"/>
              </w:rPr>
            </w:pPr>
          </w:p>
        </w:tc>
        <w:tc>
          <w:tcPr>
            <w:tcW w:w="925" w:type="dxa"/>
            <w:tcBorders>
              <w:top w:val="nil"/>
              <w:left w:val="nil"/>
              <w:bottom w:val="nil"/>
              <w:right w:val="nil"/>
            </w:tcBorders>
            <w:shd w:val="clear" w:color="auto" w:fill="auto"/>
            <w:vAlign w:val="bottom"/>
            <w:hideMark/>
          </w:tcPr>
          <w:p w14:paraId="4BD3ABE9" w14:textId="77777777" w:rsidR="005A6F55" w:rsidRPr="005A6F55" w:rsidRDefault="005A6F55" w:rsidP="005A6F55">
            <w:pPr>
              <w:jc w:val="right"/>
              <w:rPr>
                <w:rFonts w:ascii="Verdana" w:eastAsia="Times New Roman" w:hAnsi="Verdana" w:cs="Times New Roman"/>
                <w:color w:val="000000"/>
                <w:sz w:val="20"/>
                <w:szCs w:val="20"/>
              </w:rPr>
            </w:pPr>
          </w:p>
        </w:tc>
        <w:tc>
          <w:tcPr>
            <w:tcW w:w="925" w:type="dxa"/>
            <w:tcBorders>
              <w:top w:val="nil"/>
              <w:left w:val="nil"/>
              <w:bottom w:val="nil"/>
              <w:right w:val="nil"/>
            </w:tcBorders>
            <w:shd w:val="clear" w:color="auto" w:fill="auto"/>
            <w:vAlign w:val="bottom"/>
            <w:hideMark/>
          </w:tcPr>
          <w:p w14:paraId="1276EDE7" w14:textId="77777777" w:rsidR="005A6F55" w:rsidRPr="005A6F55" w:rsidRDefault="005A6F55" w:rsidP="005A6F55">
            <w:pPr>
              <w:jc w:val="right"/>
              <w:rPr>
                <w:rFonts w:ascii="Verdana" w:eastAsia="Times New Roman" w:hAnsi="Verdana" w:cs="Times New Roman"/>
                <w:color w:val="000000"/>
                <w:sz w:val="20"/>
                <w:szCs w:val="20"/>
              </w:rPr>
            </w:pPr>
          </w:p>
        </w:tc>
        <w:tc>
          <w:tcPr>
            <w:tcW w:w="1075" w:type="dxa"/>
            <w:tcBorders>
              <w:top w:val="nil"/>
              <w:left w:val="nil"/>
              <w:bottom w:val="nil"/>
              <w:right w:val="nil"/>
            </w:tcBorders>
            <w:shd w:val="clear" w:color="auto" w:fill="auto"/>
            <w:vAlign w:val="bottom"/>
            <w:hideMark/>
          </w:tcPr>
          <w:p w14:paraId="77916BBD" w14:textId="77777777" w:rsidR="005A6F55" w:rsidRPr="005A6F55" w:rsidRDefault="005A6F55" w:rsidP="005A6F55">
            <w:pPr>
              <w:jc w:val="right"/>
              <w:rPr>
                <w:rFonts w:ascii="Verdana" w:eastAsia="Times New Roman" w:hAnsi="Verdana" w:cs="Times New Roman"/>
                <w:color w:val="000000"/>
                <w:sz w:val="20"/>
                <w:szCs w:val="20"/>
              </w:rPr>
            </w:pPr>
          </w:p>
        </w:tc>
        <w:tc>
          <w:tcPr>
            <w:tcW w:w="1170" w:type="dxa"/>
            <w:tcBorders>
              <w:top w:val="nil"/>
              <w:left w:val="nil"/>
              <w:bottom w:val="nil"/>
              <w:right w:val="nil"/>
            </w:tcBorders>
            <w:shd w:val="clear" w:color="auto" w:fill="auto"/>
            <w:vAlign w:val="bottom"/>
            <w:hideMark/>
          </w:tcPr>
          <w:p w14:paraId="20DF340A" w14:textId="77777777" w:rsidR="005A6F55" w:rsidRPr="005A6F55" w:rsidRDefault="005A6F55" w:rsidP="005A6F55">
            <w:pPr>
              <w:jc w:val="right"/>
              <w:rPr>
                <w:rFonts w:ascii="Verdana" w:eastAsia="Times New Roman" w:hAnsi="Verdana" w:cs="Times New Roman"/>
                <w:color w:val="000000"/>
                <w:sz w:val="20"/>
                <w:szCs w:val="20"/>
              </w:rPr>
            </w:pPr>
          </w:p>
        </w:tc>
      </w:tr>
      <w:tr w:rsidR="005A6F55" w:rsidRPr="005A6F55" w14:paraId="4E7777EB" w14:textId="77777777" w:rsidTr="005A6F55">
        <w:trPr>
          <w:trHeight w:val="400"/>
        </w:trPr>
        <w:tc>
          <w:tcPr>
            <w:tcW w:w="2670" w:type="dxa"/>
            <w:tcBorders>
              <w:top w:val="nil"/>
              <w:left w:val="nil"/>
              <w:bottom w:val="nil"/>
              <w:right w:val="nil"/>
            </w:tcBorders>
            <w:shd w:val="clear" w:color="auto" w:fill="auto"/>
            <w:vAlign w:val="bottom"/>
            <w:hideMark/>
          </w:tcPr>
          <w:p w14:paraId="6FBFDB38" w14:textId="77777777" w:rsidR="005A6F55" w:rsidRPr="005A6F55" w:rsidRDefault="005A6F55" w:rsidP="005A6F55">
            <w:pPr>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Malawi to Mozambique</w:t>
            </w:r>
          </w:p>
        </w:tc>
        <w:tc>
          <w:tcPr>
            <w:tcW w:w="945" w:type="dxa"/>
            <w:tcBorders>
              <w:top w:val="nil"/>
              <w:left w:val="nil"/>
              <w:bottom w:val="nil"/>
              <w:right w:val="nil"/>
            </w:tcBorders>
            <w:shd w:val="clear" w:color="auto" w:fill="auto"/>
            <w:vAlign w:val="bottom"/>
            <w:hideMark/>
          </w:tcPr>
          <w:p w14:paraId="2E49F2CC"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0</w:t>
            </w:r>
          </w:p>
        </w:tc>
        <w:tc>
          <w:tcPr>
            <w:tcW w:w="925" w:type="dxa"/>
            <w:tcBorders>
              <w:top w:val="nil"/>
              <w:left w:val="nil"/>
              <w:bottom w:val="nil"/>
              <w:right w:val="nil"/>
            </w:tcBorders>
            <w:shd w:val="clear" w:color="auto" w:fill="auto"/>
            <w:vAlign w:val="bottom"/>
            <w:hideMark/>
          </w:tcPr>
          <w:p w14:paraId="65F454E6"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0</w:t>
            </w:r>
          </w:p>
        </w:tc>
        <w:tc>
          <w:tcPr>
            <w:tcW w:w="925" w:type="dxa"/>
            <w:tcBorders>
              <w:top w:val="nil"/>
              <w:left w:val="nil"/>
              <w:bottom w:val="nil"/>
              <w:right w:val="nil"/>
            </w:tcBorders>
            <w:shd w:val="clear" w:color="auto" w:fill="auto"/>
            <w:vAlign w:val="bottom"/>
            <w:hideMark/>
          </w:tcPr>
          <w:p w14:paraId="6969DEC2"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0</w:t>
            </w:r>
          </w:p>
        </w:tc>
        <w:tc>
          <w:tcPr>
            <w:tcW w:w="1075" w:type="dxa"/>
            <w:tcBorders>
              <w:top w:val="nil"/>
              <w:left w:val="nil"/>
              <w:bottom w:val="nil"/>
              <w:right w:val="nil"/>
            </w:tcBorders>
            <w:shd w:val="clear" w:color="auto" w:fill="auto"/>
            <w:vAlign w:val="bottom"/>
            <w:hideMark/>
          </w:tcPr>
          <w:p w14:paraId="1D93A533"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0</w:t>
            </w:r>
          </w:p>
        </w:tc>
        <w:tc>
          <w:tcPr>
            <w:tcW w:w="1170" w:type="dxa"/>
            <w:tcBorders>
              <w:top w:val="nil"/>
              <w:left w:val="nil"/>
              <w:bottom w:val="nil"/>
              <w:right w:val="nil"/>
            </w:tcBorders>
            <w:shd w:val="clear" w:color="auto" w:fill="auto"/>
            <w:vAlign w:val="bottom"/>
            <w:hideMark/>
          </w:tcPr>
          <w:p w14:paraId="44355E82"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0</w:t>
            </w:r>
          </w:p>
        </w:tc>
      </w:tr>
      <w:tr w:rsidR="005A6F55" w:rsidRPr="005A6F55" w14:paraId="19A52608" w14:textId="77777777" w:rsidTr="005A6F55">
        <w:trPr>
          <w:trHeight w:val="400"/>
        </w:trPr>
        <w:tc>
          <w:tcPr>
            <w:tcW w:w="2670" w:type="dxa"/>
            <w:tcBorders>
              <w:top w:val="nil"/>
              <w:left w:val="nil"/>
              <w:bottom w:val="nil"/>
              <w:right w:val="nil"/>
            </w:tcBorders>
            <w:shd w:val="clear" w:color="auto" w:fill="auto"/>
            <w:vAlign w:val="bottom"/>
            <w:hideMark/>
          </w:tcPr>
          <w:p w14:paraId="58405247" w14:textId="77777777" w:rsidR="005A6F55" w:rsidRPr="005A6F55" w:rsidRDefault="005A6F55" w:rsidP="005A6F55">
            <w:pPr>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Malawi to Tanzania</w:t>
            </w:r>
          </w:p>
        </w:tc>
        <w:tc>
          <w:tcPr>
            <w:tcW w:w="945" w:type="dxa"/>
            <w:tcBorders>
              <w:top w:val="nil"/>
              <w:left w:val="nil"/>
              <w:bottom w:val="nil"/>
              <w:right w:val="nil"/>
            </w:tcBorders>
            <w:shd w:val="clear" w:color="auto" w:fill="auto"/>
            <w:vAlign w:val="bottom"/>
            <w:hideMark/>
          </w:tcPr>
          <w:p w14:paraId="36A15AD1"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96</w:t>
            </w:r>
          </w:p>
        </w:tc>
        <w:tc>
          <w:tcPr>
            <w:tcW w:w="925" w:type="dxa"/>
            <w:tcBorders>
              <w:top w:val="nil"/>
              <w:left w:val="nil"/>
              <w:bottom w:val="nil"/>
              <w:right w:val="nil"/>
            </w:tcBorders>
            <w:shd w:val="clear" w:color="auto" w:fill="auto"/>
            <w:vAlign w:val="bottom"/>
            <w:hideMark/>
          </w:tcPr>
          <w:p w14:paraId="6725C26A"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103</w:t>
            </w:r>
          </w:p>
        </w:tc>
        <w:tc>
          <w:tcPr>
            <w:tcW w:w="925" w:type="dxa"/>
            <w:tcBorders>
              <w:top w:val="nil"/>
              <w:left w:val="nil"/>
              <w:bottom w:val="nil"/>
              <w:right w:val="nil"/>
            </w:tcBorders>
            <w:shd w:val="clear" w:color="auto" w:fill="auto"/>
            <w:vAlign w:val="bottom"/>
            <w:hideMark/>
          </w:tcPr>
          <w:p w14:paraId="2EA04915"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174</w:t>
            </w:r>
          </w:p>
        </w:tc>
        <w:tc>
          <w:tcPr>
            <w:tcW w:w="1075" w:type="dxa"/>
            <w:tcBorders>
              <w:top w:val="nil"/>
              <w:left w:val="nil"/>
              <w:bottom w:val="nil"/>
              <w:right w:val="nil"/>
            </w:tcBorders>
            <w:shd w:val="clear" w:color="auto" w:fill="auto"/>
            <w:vAlign w:val="bottom"/>
            <w:hideMark/>
          </w:tcPr>
          <w:p w14:paraId="562065AC"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358</w:t>
            </w:r>
          </w:p>
        </w:tc>
        <w:tc>
          <w:tcPr>
            <w:tcW w:w="1170" w:type="dxa"/>
            <w:tcBorders>
              <w:top w:val="nil"/>
              <w:left w:val="nil"/>
              <w:bottom w:val="nil"/>
              <w:right w:val="nil"/>
            </w:tcBorders>
            <w:shd w:val="clear" w:color="auto" w:fill="auto"/>
            <w:vAlign w:val="bottom"/>
            <w:hideMark/>
          </w:tcPr>
          <w:p w14:paraId="33E9566B"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731</w:t>
            </w:r>
          </w:p>
        </w:tc>
      </w:tr>
      <w:tr w:rsidR="005A6F55" w:rsidRPr="005A6F55" w14:paraId="3F394C14" w14:textId="77777777" w:rsidTr="005A6F55">
        <w:trPr>
          <w:trHeight w:val="400"/>
        </w:trPr>
        <w:tc>
          <w:tcPr>
            <w:tcW w:w="2670" w:type="dxa"/>
            <w:tcBorders>
              <w:top w:val="nil"/>
              <w:left w:val="nil"/>
              <w:bottom w:val="nil"/>
              <w:right w:val="nil"/>
            </w:tcBorders>
            <w:shd w:val="clear" w:color="auto" w:fill="auto"/>
            <w:vAlign w:val="bottom"/>
            <w:hideMark/>
          </w:tcPr>
          <w:p w14:paraId="6FB0CE9B" w14:textId="77777777" w:rsidR="005A6F55" w:rsidRPr="005A6F55" w:rsidRDefault="005A6F55" w:rsidP="005A6F55">
            <w:pPr>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Malawi to Zambia</w:t>
            </w:r>
          </w:p>
        </w:tc>
        <w:tc>
          <w:tcPr>
            <w:tcW w:w="945" w:type="dxa"/>
            <w:tcBorders>
              <w:top w:val="nil"/>
              <w:left w:val="nil"/>
              <w:bottom w:val="nil"/>
              <w:right w:val="nil"/>
            </w:tcBorders>
            <w:shd w:val="clear" w:color="auto" w:fill="auto"/>
            <w:vAlign w:val="bottom"/>
            <w:hideMark/>
          </w:tcPr>
          <w:p w14:paraId="6CF2F802"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15</w:t>
            </w:r>
          </w:p>
        </w:tc>
        <w:tc>
          <w:tcPr>
            <w:tcW w:w="925" w:type="dxa"/>
            <w:tcBorders>
              <w:top w:val="nil"/>
              <w:left w:val="nil"/>
              <w:bottom w:val="nil"/>
              <w:right w:val="nil"/>
            </w:tcBorders>
            <w:shd w:val="clear" w:color="auto" w:fill="auto"/>
            <w:vAlign w:val="bottom"/>
            <w:hideMark/>
          </w:tcPr>
          <w:p w14:paraId="40214D8D"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8</w:t>
            </w:r>
          </w:p>
        </w:tc>
        <w:tc>
          <w:tcPr>
            <w:tcW w:w="925" w:type="dxa"/>
            <w:tcBorders>
              <w:top w:val="nil"/>
              <w:left w:val="nil"/>
              <w:bottom w:val="nil"/>
              <w:right w:val="nil"/>
            </w:tcBorders>
            <w:shd w:val="clear" w:color="auto" w:fill="auto"/>
            <w:vAlign w:val="bottom"/>
            <w:hideMark/>
          </w:tcPr>
          <w:p w14:paraId="58A8F88E"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5</w:t>
            </w:r>
          </w:p>
        </w:tc>
        <w:tc>
          <w:tcPr>
            <w:tcW w:w="1075" w:type="dxa"/>
            <w:tcBorders>
              <w:top w:val="nil"/>
              <w:left w:val="nil"/>
              <w:bottom w:val="nil"/>
              <w:right w:val="nil"/>
            </w:tcBorders>
            <w:shd w:val="clear" w:color="auto" w:fill="auto"/>
            <w:vAlign w:val="bottom"/>
            <w:hideMark/>
          </w:tcPr>
          <w:p w14:paraId="655453B9"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31</w:t>
            </w:r>
          </w:p>
        </w:tc>
        <w:tc>
          <w:tcPr>
            <w:tcW w:w="1170" w:type="dxa"/>
            <w:tcBorders>
              <w:top w:val="nil"/>
              <w:left w:val="nil"/>
              <w:bottom w:val="nil"/>
              <w:right w:val="nil"/>
            </w:tcBorders>
            <w:shd w:val="clear" w:color="auto" w:fill="auto"/>
            <w:vAlign w:val="bottom"/>
            <w:hideMark/>
          </w:tcPr>
          <w:p w14:paraId="6F1CCEE0" w14:textId="77777777" w:rsidR="005A6F55" w:rsidRPr="005A6F55" w:rsidRDefault="005A6F55" w:rsidP="005A6F55">
            <w:pPr>
              <w:jc w:val="right"/>
              <w:rPr>
                <w:rFonts w:ascii="Verdana" w:eastAsia="Times New Roman" w:hAnsi="Verdana" w:cs="Times New Roman"/>
                <w:color w:val="000000"/>
                <w:sz w:val="20"/>
                <w:szCs w:val="20"/>
              </w:rPr>
            </w:pPr>
            <w:r w:rsidRPr="005A6F55">
              <w:rPr>
                <w:rFonts w:ascii="Verdana" w:eastAsia="Times New Roman" w:hAnsi="Verdana" w:cs="Times New Roman"/>
                <w:color w:val="000000"/>
                <w:sz w:val="20"/>
                <w:szCs w:val="20"/>
              </w:rPr>
              <w:t>59</w:t>
            </w:r>
          </w:p>
        </w:tc>
      </w:tr>
      <w:tr w:rsidR="005A6F55" w:rsidRPr="005A6F55" w14:paraId="14B90BBC" w14:textId="77777777" w:rsidTr="005A6F55">
        <w:trPr>
          <w:trHeight w:val="420"/>
        </w:trPr>
        <w:tc>
          <w:tcPr>
            <w:tcW w:w="2670" w:type="dxa"/>
            <w:tcBorders>
              <w:top w:val="nil"/>
              <w:left w:val="nil"/>
              <w:bottom w:val="nil"/>
              <w:right w:val="nil"/>
            </w:tcBorders>
            <w:shd w:val="clear" w:color="auto" w:fill="auto"/>
            <w:vAlign w:val="bottom"/>
            <w:hideMark/>
          </w:tcPr>
          <w:p w14:paraId="142879E7" w14:textId="77777777" w:rsidR="005A6F55" w:rsidRPr="005A6F55" w:rsidRDefault="005A6F55" w:rsidP="005A6F55">
            <w:pPr>
              <w:rPr>
                <w:rFonts w:ascii="Arial" w:eastAsia="Times New Roman" w:hAnsi="Arial" w:cs="Arial"/>
                <w:b/>
                <w:bCs/>
                <w:sz w:val="20"/>
                <w:szCs w:val="20"/>
              </w:rPr>
            </w:pPr>
            <w:r w:rsidRPr="005A6F55">
              <w:rPr>
                <w:rFonts w:ascii="Arial" w:eastAsia="Times New Roman" w:hAnsi="Arial" w:cs="Arial"/>
                <w:b/>
                <w:bCs/>
                <w:sz w:val="20"/>
                <w:szCs w:val="20"/>
              </w:rPr>
              <w:t>Net imports</w:t>
            </w:r>
          </w:p>
        </w:tc>
        <w:tc>
          <w:tcPr>
            <w:tcW w:w="945" w:type="dxa"/>
            <w:tcBorders>
              <w:top w:val="nil"/>
              <w:left w:val="nil"/>
              <w:bottom w:val="nil"/>
              <w:right w:val="nil"/>
            </w:tcBorders>
            <w:shd w:val="clear" w:color="auto" w:fill="auto"/>
            <w:vAlign w:val="bottom"/>
            <w:hideMark/>
          </w:tcPr>
          <w:p w14:paraId="6FD95633" w14:textId="77777777" w:rsidR="005A6F55" w:rsidRPr="005A6F55" w:rsidRDefault="005A6F55" w:rsidP="005A6F55">
            <w:pPr>
              <w:rPr>
                <w:rFonts w:ascii="Arial" w:eastAsia="Times New Roman" w:hAnsi="Arial" w:cs="Arial"/>
                <w:sz w:val="20"/>
                <w:szCs w:val="20"/>
              </w:rPr>
            </w:pPr>
          </w:p>
        </w:tc>
        <w:tc>
          <w:tcPr>
            <w:tcW w:w="925" w:type="dxa"/>
            <w:tcBorders>
              <w:top w:val="nil"/>
              <w:left w:val="nil"/>
              <w:bottom w:val="nil"/>
              <w:right w:val="nil"/>
            </w:tcBorders>
            <w:shd w:val="clear" w:color="auto" w:fill="auto"/>
            <w:vAlign w:val="bottom"/>
            <w:hideMark/>
          </w:tcPr>
          <w:p w14:paraId="7FCCE712" w14:textId="77777777" w:rsidR="005A6F55" w:rsidRPr="005A6F55" w:rsidRDefault="005A6F55" w:rsidP="005A6F55">
            <w:pPr>
              <w:rPr>
                <w:rFonts w:ascii="Arial" w:eastAsia="Times New Roman" w:hAnsi="Arial" w:cs="Arial"/>
                <w:sz w:val="20"/>
                <w:szCs w:val="20"/>
              </w:rPr>
            </w:pPr>
          </w:p>
        </w:tc>
        <w:tc>
          <w:tcPr>
            <w:tcW w:w="925" w:type="dxa"/>
            <w:tcBorders>
              <w:top w:val="nil"/>
              <w:left w:val="nil"/>
              <w:bottom w:val="nil"/>
              <w:right w:val="nil"/>
            </w:tcBorders>
            <w:shd w:val="clear" w:color="auto" w:fill="auto"/>
            <w:vAlign w:val="bottom"/>
            <w:hideMark/>
          </w:tcPr>
          <w:p w14:paraId="72C9AA2D" w14:textId="77777777" w:rsidR="005A6F55" w:rsidRPr="005A6F55" w:rsidRDefault="005A6F55" w:rsidP="005A6F55">
            <w:pPr>
              <w:rPr>
                <w:rFonts w:ascii="Arial" w:eastAsia="Times New Roman" w:hAnsi="Arial" w:cs="Arial"/>
                <w:sz w:val="20"/>
                <w:szCs w:val="20"/>
              </w:rPr>
            </w:pPr>
          </w:p>
        </w:tc>
        <w:tc>
          <w:tcPr>
            <w:tcW w:w="1075" w:type="dxa"/>
            <w:tcBorders>
              <w:top w:val="nil"/>
              <w:left w:val="nil"/>
              <w:bottom w:val="nil"/>
              <w:right w:val="nil"/>
            </w:tcBorders>
            <w:shd w:val="clear" w:color="auto" w:fill="auto"/>
            <w:vAlign w:val="bottom"/>
            <w:hideMark/>
          </w:tcPr>
          <w:p w14:paraId="3D927E4D" w14:textId="77777777" w:rsidR="005A6F55" w:rsidRPr="005A6F55" w:rsidRDefault="005A6F55" w:rsidP="005A6F55">
            <w:pPr>
              <w:rPr>
                <w:rFonts w:ascii="Arial" w:eastAsia="Times New Roman" w:hAnsi="Arial" w:cs="Arial"/>
                <w:sz w:val="20"/>
                <w:szCs w:val="20"/>
              </w:rPr>
            </w:pPr>
          </w:p>
        </w:tc>
        <w:tc>
          <w:tcPr>
            <w:tcW w:w="1170" w:type="dxa"/>
            <w:tcBorders>
              <w:top w:val="nil"/>
              <w:left w:val="nil"/>
              <w:bottom w:val="nil"/>
              <w:right w:val="nil"/>
            </w:tcBorders>
            <w:shd w:val="clear" w:color="auto" w:fill="auto"/>
            <w:vAlign w:val="bottom"/>
            <w:hideMark/>
          </w:tcPr>
          <w:p w14:paraId="380436DA" w14:textId="77777777" w:rsidR="005A6F55" w:rsidRPr="005A6F55" w:rsidRDefault="005A6F55" w:rsidP="005A6F55">
            <w:pPr>
              <w:jc w:val="right"/>
              <w:rPr>
                <w:rFonts w:ascii="Verdana" w:eastAsia="Times New Roman" w:hAnsi="Verdana" w:cs="Times New Roman"/>
                <w:b/>
                <w:bCs/>
                <w:color w:val="000000"/>
                <w:sz w:val="20"/>
                <w:szCs w:val="20"/>
              </w:rPr>
            </w:pPr>
            <w:r w:rsidRPr="005A6F55">
              <w:rPr>
                <w:rFonts w:ascii="Verdana" w:eastAsia="Times New Roman" w:hAnsi="Verdana" w:cs="Times New Roman"/>
                <w:b/>
                <w:bCs/>
                <w:color w:val="000000"/>
                <w:sz w:val="20"/>
                <w:szCs w:val="20"/>
              </w:rPr>
              <w:t>120,416</w:t>
            </w:r>
          </w:p>
        </w:tc>
      </w:tr>
    </w:tbl>
    <w:p w14:paraId="30407BA6" w14:textId="77777777" w:rsidR="005A6F55" w:rsidRDefault="005A6F55" w:rsidP="00A220EC"/>
    <w:p w14:paraId="4A71D8FA" w14:textId="25D93258" w:rsidR="00A220EC" w:rsidRPr="00943584" w:rsidRDefault="00A220EC" w:rsidP="00A220EC">
      <w:r w:rsidRPr="00943584">
        <w:t xml:space="preserve">Source: </w:t>
      </w:r>
      <w:r w:rsidR="002368EB">
        <w:t>FEWS NET</w:t>
      </w:r>
      <w:r w:rsidR="002368EB" w:rsidRPr="00943584">
        <w:t xml:space="preserve"> </w:t>
      </w:r>
      <w:r w:rsidRPr="00943584">
        <w:t xml:space="preserve">2006 “Informal Cross Border Food Trade in Southern Africa” </w:t>
      </w:r>
      <w:proofErr w:type="spellStart"/>
      <w:r w:rsidRPr="00943584">
        <w:t>Vol</w:t>
      </w:r>
      <w:proofErr w:type="spellEnd"/>
      <w:r w:rsidRPr="00943584">
        <w:t xml:space="preserve"> 26. </w:t>
      </w:r>
    </w:p>
    <w:p w14:paraId="0C9DDAA5" w14:textId="77777777" w:rsidR="000A4BEB" w:rsidRDefault="000A4BEB"/>
    <w:p w14:paraId="6F4DDF4E" w14:textId="552756A7" w:rsidR="00F64EA0" w:rsidRDefault="00B36A39" w:rsidP="00F64EA0">
      <w:r>
        <w:t>Returning to the 2005 maize balance sheet for Malawi, t</w:t>
      </w:r>
      <w:r w:rsidR="00F64EA0">
        <w:t xml:space="preserve">he gap between the amount consumed (1.9 million tons), and the amount produced (1.2 million tons) and </w:t>
      </w:r>
      <w:r w:rsidR="007D2526">
        <w:t>formal and informal imports (245</w:t>
      </w:r>
      <w:r w:rsidR="00F64EA0">
        <w:t>,000 tons)</w:t>
      </w:r>
      <w:r w:rsidR="007D2526">
        <w:t xml:space="preserve"> shrinks to about 480</w:t>
      </w:r>
      <w:r w:rsidR="006177D0">
        <w:t>,000 metric tons. Yet, the stock variation listed on the FBS is 725,000, suggesting that the government of Malawi may have released more reserves from their stock than they needed.</w:t>
      </w:r>
    </w:p>
    <w:p w14:paraId="27E3F57F" w14:textId="77777777" w:rsidR="00F64EA0" w:rsidRDefault="00F64EA0"/>
    <w:p w14:paraId="37AD12D3" w14:textId="77777777" w:rsidR="00F64EA0" w:rsidRDefault="00F64EA0"/>
    <w:p w14:paraId="1964288D" w14:textId="77777777" w:rsidR="00F64EA0" w:rsidRPr="00633285" w:rsidRDefault="00F64EA0" w:rsidP="00F64EA0">
      <w:pPr>
        <w:rPr>
          <w:i/>
        </w:rPr>
      </w:pPr>
      <w:r w:rsidRPr="00633285">
        <w:rPr>
          <w:i/>
        </w:rPr>
        <w:t>Limitations of the analytic</w:t>
      </w:r>
    </w:p>
    <w:p w14:paraId="32746E02" w14:textId="77777777" w:rsidR="00F64EA0" w:rsidRDefault="00F64EA0" w:rsidP="00F64EA0">
      <w:r>
        <w:t>Informal trade is highly sensitive to seasonality; therefore estimates found in one season should not be assumed to apply across the entire year. Also, it is time-intensive to count trade across numerous borders for larger samples.</w:t>
      </w:r>
    </w:p>
    <w:p w14:paraId="5849919D" w14:textId="77777777" w:rsidR="00F64EA0" w:rsidRDefault="00F64EA0"/>
    <w:sectPr w:rsidR="00F64EA0" w:rsidSect="000A4BEB">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A909" w14:textId="77777777" w:rsidR="00E12842" w:rsidRDefault="00E12842" w:rsidP="00AC0DFC">
      <w:r>
        <w:separator/>
      </w:r>
    </w:p>
  </w:endnote>
  <w:endnote w:type="continuationSeparator" w:id="0">
    <w:p w14:paraId="3D75DE81" w14:textId="77777777" w:rsidR="00E12842" w:rsidRDefault="00E12842" w:rsidP="00AC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7C37" w14:textId="77777777" w:rsidR="00E12842" w:rsidRDefault="00E12842" w:rsidP="000A4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32B04" w14:textId="77777777" w:rsidR="00E12842" w:rsidRDefault="00E12842" w:rsidP="00A220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6C44" w14:textId="77777777" w:rsidR="00E12842" w:rsidRDefault="00E12842" w:rsidP="000A4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262">
      <w:rPr>
        <w:rStyle w:val="PageNumber"/>
        <w:noProof/>
      </w:rPr>
      <w:t>1</w:t>
    </w:r>
    <w:r>
      <w:rPr>
        <w:rStyle w:val="PageNumber"/>
      </w:rPr>
      <w:fldChar w:fldCharType="end"/>
    </w:r>
  </w:p>
  <w:p w14:paraId="1E1D122B" w14:textId="77777777" w:rsidR="00E12842" w:rsidRDefault="00E12842" w:rsidP="00A220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F524" w14:textId="77777777" w:rsidR="00E12842" w:rsidRDefault="00E12842" w:rsidP="00AC0DFC">
      <w:r>
        <w:separator/>
      </w:r>
    </w:p>
  </w:footnote>
  <w:footnote w:type="continuationSeparator" w:id="0">
    <w:p w14:paraId="2E971CBA" w14:textId="77777777" w:rsidR="00E12842" w:rsidRDefault="00E12842" w:rsidP="00AC0D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F0D4C"/>
    <w:multiLevelType w:val="hybridMultilevel"/>
    <w:tmpl w:val="E3A025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F4283B"/>
    <w:multiLevelType w:val="hybridMultilevel"/>
    <w:tmpl w:val="428E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E52C5"/>
    <w:multiLevelType w:val="hybridMultilevel"/>
    <w:tmpl w:val="479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664"/>
    <w:multiLevelType w:val="hybridMultilevel"/>
    <w:tmpl w:val="40C8950C"/>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12E9381D"/>
    <w:multiLevelType w:val="hybridMultilevel"/>
    <w:tmpl w:val="D1740F9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A721E"/>
    <w:multiLevelType w:val="hybridMultilevel"/>
    <w:tmpl w:val="612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B20C3"/>
    <w:multiLevelType w:val="hybridMultilevel"/>
    <w:tmpl w:val="1AC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231DE"/>
    <w:multiLevelType w:val="hybridMultilevel"/>
    <w:tmpl w:val="B5C288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E16F2F"/>
    <w:multiLevelType w:val="hybridMultilevel"/>
    <w:tmpl w:val="7002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B7C4E"/>
    <w:multiLevelType w:val="hybridMultilevel"/>
    <w:tmpl w:val="49407994"/>
    <w:lvl w:ilvl="0" w:tplc="2FF07162">
      <w:start w:val="1"/>
      <w:numFmt w:val="decimal"/>
      <w:lvlText w:val="%1)"/>
      <w:lvlJc w:val="left"/>
      <w:pPr>
        <w:ind w:left="720" w:hanging="360"/>
      </w:pPr>
      <w:rPr>
        <w:rFonts w:ascii="Palatino Linotype" w:hAnsi="Palatino Linotype"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82D2C"/>
    <w:multiLevelType w:val="hybridMultilevel"/>
    <w:tmpl w:val="B2923C3A"/>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FB3A20"/>
    <w:multiLevelType w:val="hybridMultilevel"/>
    <w:tmpl w:val="5442BE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B0964"/>
    <w:multiLevelType w:val="hybridMultilevel"/>
    <w:tmpl w:val="EEF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752AF"/>
    <w:multiLevelType w:val="hybridMultilevel"/>
    <w:tmpl w:val="86C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C4DF7"/>
    <w:multiLevelType w:val="hybridMultilevel"/>
    <w:tmpl w:val="9B769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3F2648D"/>
    <w:multiLevelType w:val="hybridMultilevel"/>
    <w:tmpl w:val="98AEE63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E480C"/>
    <w:multiLevelType w:val="hybridMultilevel"/>
    <w:tmpl w:val="57A2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5753E"/>
    <w:multiLevelType w:val="hybridMultilevel"/>
    <w:tmpl w:val="576A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47A10"/>
    <w:multiLevelType w:val="hybridMultilevel"/>
    <w:tmpl w:val="17D6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2599A"/>
    <w:multiLevelType w:val="hybridMultilevel"/>
    <w:tmpl w:val="834C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76B7C"/>
    <w:multiLevelType w:val="hybridMultilevel"/>
    <w:tmpl w:val="390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36A5F"/>
    <w:multiLevelType w:val="hybridMultilevel"/>
    <w:tmpl w:val="31665E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75F76"/>
    <w:multiLevelType w:val="hybridMultilevel"/>
    <w:tmpl w:val="5938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009B7"/>
    <w:multiLevelType w:val="hybridMultilevel"/>
    <w:tmpl w:val="B908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17C93"/>
    <w:multiLevelType w:val="hybridMultilevel"/>
    <w:tmpl w:val="BB26338E"/>
    <w:lvl w:ilvl="0" w:tplc="00010409">
      <w:start w:val="1"/>
      <w:numFmt w:val="bullet"/>
      <w:lvlText w:val=""/>
      <w:lvlJc w:val="left"/>
      <w:pPr>
        <w:tabs>
          <w:tab w:val="num" w:pos="720"/>
        </w:tabs>
        <w:ind w:left="720" w:hanging="360"/>
      </w:pPr>
      <w:rPr>
        <w:rFonts w:ascii="Symbol" w:hAnsi="Symbol" w:hint="default"/>
      </w:rPr>
    </w:lvl>
    <w:lvl w:ilvl="1" w:tplc="2D8E69E6">
      <w:start w:val="1"/>
      <w:numFmt w:val="bullet"/>
      <w:lvlText w:val="o"/>
      <w:lvlJc w:val="left"/>
      <w:pPr>
        <w:ind w:left="1440" w:hanging="360"/>
      </w:pPr>
      <w:rPr>
        <w:rFonts w:ascii="Courier New" w:hAnsi="Courier New" w:cs="Wingdings" w:hint="default"/>
      </w:rPr>
    </w:lvl>
    <w:lvl w:ilvl="2" w:tplc="A812F752" w:tentative="1">
      <w:start w:val="1"/>
      <w:numFmt w:val="bullet"/>
      <w:lvlText w:val=""/>
      <w:lvlJc w:val="left"/>
      <w:pPr>
        <w:ind w:left="2160" w:hanging="360"/>
      </w:pPr>
      <w:rPr>
        <w:rFonts w:ascii="Wingdings" w:hAnsi="Wingdings" w:hint="default"/>
      </w:rPr>
    </w:lvl>
    <w:lvl w:ilvl="3" w:tplc="A21A2DF6" w:tentative="1">
      <w:start w:val="1"/>
      <w:numFmt w:val="bullet"/>
      <w:lvlText w:val=""/>
      <w:lvlJc w:val="left"/>
      <w:pPr>
        <w:ind w:left="2880" w:hanging="360"/>
      </w:pPr>
      <w:rPr>
        <w:rFonts w:ascii="Symbol" w:hAnsi="Symbol" w:hint="default"/>
      </w:rPr>
    </w:lvl>
    <w:lvl w:ilvl="4" w:tplc="F8FC3462" w:tentative="1">
      <w:start w:val="1"/>
      <w:numFmt w:val="bullet"/>
      <w:lvlText w:val="o"/>
      <w:lvlJc w:val="left"/>
      <w:pPr>
        <w:ind w:left="3600" w:hanging="360"/>
      </w:pPr>
      <w:rPr>
        <w:rFonts w:ascii="Courier New" w:hAnsi="Courier New" w:cs="Wingdings" w:hint="default"/>
      </w:rPr>
    </w:lvl>
    <w:lvl w:ilvl="5" w:tplc="8916A104" w:tentative="1">
      <w:start w:val="1"/>
      <w:numFmt w:val="bullet"/>
      <w:lvlText w:val=""/>
      <w:lvlJc w:val="left"/>
      <w:pPr>
        <w:ind w:left="4320" w:hanging="360"/>
      </w:pPr>
      <w:rPr>
        <w:rFonts w:ascii="Wingdings" w:hAnsi="Wingdings" w:hint="default"/>
      </w:rPr>
    </w:lvl>
    <w:lvl w:ilvl="6" w:tplc="912C8180" w:tentative="1">
      <w:start w:val="1"/>
      <w:numFmt w:val="bullet"/>
      <w:lvlText w:val=""/>
      <w:lvlJc w:val="left"/>
      <w:pPr>
        <w:ind w:left="5040" w:hanging="360"/>
      </w:pPr>
      <w:rPr>
        <w:rFonts w:ascii="Symbol" w:hAnsi="Symbol" w:hint="default"/>
      </w:rPr>
    </w:lvl>
    <w:lvl w:ilvl="7" w:tplc="8E6CAD7A" w:tentative="1">
      <w:start w:val="1"/>
      <w:numFmt w:val="bullet"/>
      <w:lvlText w:val="o"/>
      <w:lvlJc w:val="left"/>
      <w:pPr>
        <w:ind w:left="5760" w:hanging="360"/>
      </w:pPr>
      <w:rPr>
        <w:rFonts w:ascii="Courier New" w:hAnsi="Courier New" w:cs="Wingdings" w:hint="default"/>
      </w:rPr>
    </w:lvl>
    <w:lvl w:ilvl="8" w:tplc="78043B12" w:tentative="1">
      <w:start w:val="1"/>
      <w:numFmt w:val="bullet"/>
      <w:lvlText w:val=""/>
      <w:lvlJc w:val="left"/>
      <w:pPr>
        <w:ind w:left="6480" w:hanging="360"/>
      </w:pPr>
      <w:rPr>
        <w:rFonts w:ascii="Wingdings" w:hAnsi="Wingdings" w:hint="default"/>
      </w:rPr>
    </w:lvl>
  </w:abstractNum>
  <w:abstractNum w:abstractNumId="33">
    <w:nsid w:val="63237FD6"/>
    <w:multiLevelType w:val="hybridMultilevel"/>
    <w:tmpl w:val="F7D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77FDB"/>
    <w:multiLevelType w:val="hybridMultilevel"/>
    <w:tmpl w:val="6ED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67B8B"/>
    <w:multiLevelType w:val="hybridMultilevel"/>
    <w:tmpl w:val="B9D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F1A7B"/>
    <w:multiLevelType w:val="hybridMultilevel"/>
    <w:tmpl w:val="1A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A376D"/>
    <w:multiLevelType w:val="hybridMultilevel"/>
    <w:tmpl w:val="11C893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ECE1F39"/>
    <w:multiLevelType w:val="hybridMultilevel"/>
    <w:tmpl w:val="221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8146F"/>
    <w:multiLevelType w:val="hybridMultilevel"/>
    <w:tmpl w:val="2586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D5450"/>
    <w:multiLevelType w:val="hybridMultilevel"/>
    <w:tmpl w:val="919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A6AB5"/>
    <w:multiLevelType w:val="hybridMultilevel"/>
    <w:tmpl w:val="F4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E7F9B"/>
    <w:multiLevelType w:val="hybridMultilevel"/>
    <w:tmpl w:val="0E9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0094F"/>
    <w:multiLevelType w:val="hybridMultilevel"/>
    <w:tmpl w:val="C58A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B714F"/>
    <w:multiLevelType w:val="hybridMultilevel"/>
    <w:tmpl w:val="7FC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7"/>
  </w:num>
  <w:num w:numId="5">
    <w:abstractNumId w:val="7"/>
  </w:num>
  <w:num w:numId="6">
    <w:abstractNumId w:val="13"/>
  </w:num>
  <w:num w:numId="7">
    <w:abstractNumId w:val="42"/>
  </w:num>
  <w:num w:numId="8">
    <w:abstractNumId w:val="4"/>
  </w:num>
  <w:num w:numId="9">
    <w:abstractNumId w:val="38"/>
  </w:num>
  <w:num w:numId="10">
    <w:abstractNumId w:val="40"/>
  </w:num>
  <w:num w:numId="11">
    <w:abstractNumId w:val="31"/>
  </w:num>
  <w:num w:numId="12">
    <w:abstractNumId w:val="18"/>
  </w:num>
  <w:num w:numId="13">
    <w:abstractNumId w:val="24"/>
  </w:num>
  <w:num w:numId="14">
    <w:abstractNumId w:val="23"/>
  </w:num>
  <w:num w:numId="15">
    <w:abstractNumId w:val="16"/>
  </w:num>
  <w:num w:numId="16">
    <w:abstractNumId w:val="1"/>
  </w:num>
  <w:num w:numId="17">
    <w:abstractNumId w:val="37"/>
  </w:num>
  <w:num w:numId="18">
    <w:abstractNumId w:val="44"/>
  </w:num>
  <w:num w:numId="19">
    <w:abstractNumId w:val="45"/>
  </w:num>
  <w:num w:numId="20">
    <w:abstractNumId w:val="21"/>
  </w:num>
  <w:num w:numId="21">
    <w:abstractNumId w:val="6"/>
  </w:num>
  <w:num w:numId="22">
    <w:abstractNumId w:val="10"/>
  </w:num>
  <w:num w:numId="23">
    <w:abstractNumId w:val="0"/>
  </w:num>
  <w:num w:numId="24">
    <w:abstractNumId w:val="22"/>
  </w:num>
  <w:num w:numId="25">
    <w:abstractNumId w:val="28"/>
  </w:num>
  <w:num w:numId="26">
    <w:abstractNumId w:val="19"/>
  </w:num>
  <w:num w:numId="27">
    <w:abstractNumId w:val="32"/>
  </w:num>
  <w:num w:numId="28">
    <w:abstractNumId w:val="14"/>
  </w:num>
  <w:num w:numId="29">
    <w:abstractNumId w:val="17"/>
  </w:num>
  <w:num w:numId="30">
    <w:abstractNumId w:val="20"/>
  </w:num>
  <w:num w:numId="31">
    <w:abstractNumId w:val="36"/>
  </w:num>
  <w:num w:numId="32">
    <w:abstractNumId w:val="11"/>
  </w:num>
  <w:num w:numId="33">
    <w:abstractNumId w:val="3"/>
  </w:num>
  <w:num w:numId="34">
    <w:abstractNumId w:val="39"/>
  </w:num>
  <w:num w:numId="35">
    <w:abstractNumId w:val="5"/>
  </w:num>
  <w:num w:numId="36">
    <w:abstractNumId w:val="2"/>
  </w:num>
  <w:num w:numId="37">
    <w:abstractNumId w:val="33"/>
  </w:num>
  <w:num w:numId="38">
    <w:abstractNumId w:val="9"/>
  </w:num>
  <w:num w:numId="39">
    <w:abstractNumId w:val="15"/>
  </w:num>
  <w:num w:numId="40">
    <w:abstractNumId w:val="12"/>
  </w:num>
  <w:num w:numId="41">
    <w:abstractNumId w:val="43"/>
  </w:num>
  <w:num w:numId="42">
    <w:abstractNumId w:val="25"/>
  </w:num>
  <w:num w:numId="43">
    <w:abstractNumId w:val="41"/>
  </w:num>
  <w:num w:numId="44">
    <w:abstractNumId w:val="35"/>
  </w:num>
  <w:num w:numId="45">
    <w:abstractNumId w:val="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5E"/>
    <w:rsid w:val="00002D35"/>
    <w:rsid w:val="00011B9A"/>
    <w:rsid w:val="000612BB"/>
    <w:rsid w:val="000A4BEB"/>
    <w:rsid w:val="000A503A"/>
    <w:rsid w:val="000C2DA1"/>
    <w:rsid w:val="000D48DE"/>
    <w:rsid w:val="00110713"/>
    <w:rsid w:val="00113EFF"/>
    <w:rsid w:val="001229DB"/>
    <w:rsid w:val="00130520"/>
    <w:rsid w:val="00180DC4"/>
    <w:rsid w:val="00195AD5"/>
    <w:rsid w:val="001A1085"/>
    <w:rsid w:val="001C6670"/>
    <w:rsid w:val="001F44B4"/>
    <w:rsid w:val="002049AC"/>
    <w:rsid w:val="002134C4"/>
    <w:rsid w:val="002231F8"/>
    <w:rsid w:val="00226A00"/>
    <w:rsid w:val="00230A31"/>
    <w:rsid w:val="002368EB"/>
    <w:rsid w:val="00242E05"/>
    <w:rsid w:val="00260060"/>
    <w:rsid w:val="0027232A"/>
    <w:rsid w:val="0027569E"/>
    <w:rsid w:val="00276D77"/>
    <w:rsid w:val="002C06F8"/>
    <w:rsid w:val="002C7435"/>
    <w:rsid w:val="002D755A"/>
    <w:rsid w:val="00305C92"/>
    <w:rsid w:val="003065F2"/>
    <w:rsid w:val="00321970"/>
    <w:rsid w:val="00356B92"/>
    <w:rsid w:val="00372862"/>
    <w:rsid w:val="0038020B"/>
    <w:rsid w:val="00380A44"/>
    <w:rsid w:val="003975BC"/>
    <w:rsid w:val="003A3007"/>
    <w:rsid w:val="003A40AB"/>
    <w:rsid w:val="00417E72"/>
    <w:rsid w:val="004422F9"/>
    <w:rsid w:val="004779FB"/>
    <w:rsid w:val="004900F7"/>
    <w:rsid w:val="004940A1"/>
    <w:rsid w:val="004A2781"/>
    <w:rsid w:val="004A47DC"/>
    <w:rsid w:val="004C10A4"/>
    <w:rsid w:val="004D595E"/>
    <w:rsid w:val="004E44CD"/>
    <w:rsid w:val="004E4661"/>
    <w:rsid w:val="00500B72"/>
    <w:rsid w:val="005131A8"/>
    <w:rsid w:val="00583A23"/>
    <w:rsid w:val="00593E00"/>
    <w:rsid w:val="005A6F55"/>
    <w:rsid w:val="005C0749"/>
    <w:rsid w:val="005C2BAB"/>
    <w:rsid w:val="005D1693"/>
    <w:rsid w:val="005F4758"/>
    <w:rsid w:val="005F7868"/>
    <w:rsid w:val="00607F33"/>
    <w:rsid w:val="006177D0"/>
    <w:rsid w:val="00631174"/>
    <w:rsid w:val="00633285"/>
    <w:rsid w:val="00647BC8"/>
    <w:rsid w:val="006652C7"/>
    <w:rsid w:val="006726FC"/>
    <w:rsid w:val="00683B8E"/>
    <w:rsid w:val="006A05F2"/>
    <w:rsid w:val="006A0C6E"/>
    <w:rsid w:val="006C7278"/>
    <w:rsid w:val="006D35A8"/>
    <w:rsid w:val="006F0EA7"/>
    <w:rsid w:val="006F1CDA"/>
    <w:rsid w:val="007035AF"/>
    <w:rsid w:val="00720013"/>
    <w:rsid w:val="00720430"/>
    <w:rsid w:val="00721A83"/>
    <w:rsid w:val="00741980"/>
    <w:rsid w:val="0074235D"/>
    <w:rsid w:val="00751633"/>
    <w:rsid w:val="0079178A"/>
    <w:rsid w:val="007B421E"/>
    <w:rsid w:val="007D1A81"/>
    <w:rsid w:val="007D2526"/>
    <w:rsid w:val="008024B8"/>
    <w:rsid w:val="0081485C"/>
    <w:rsid w:val="0081536C"/>
    <w:rsid w:val="00816E64"/>
    <w:rsid w:val="00826FCF"/>
    <w:rsid w:val="0084005E"/>
    <w:rsid w:val="008428B6"/>
    <w:rsid w:val="00851422"/>
    <w:rsid w:val="0086321E"/>
    <w:rsid w:val="00864262"/>
    <w:rsid w:val="008D0B5E"/>
    <w:rsid w:val="008D2349"/>
    <w:rsid w:val="008D549A"/>
    <w:rsid w:val="008F0BEC"/>
    <w:rsid w:val="008F45C8"/>
    <w:rsid w:val="00910D5E"/>
    <w:rsid w:val="009245F0"/>
    <w:rsid w:val="00956C4F"/>
    <w:rsid w:val="0095794C"/>
    <w:rsid w:val="00963491"/>
    <w:rsid w:val="009B398C"/>
    <w:rsid w:val="009E4682"/>
    <w:rsid w:val="009E5243"/>
    <w:rsid w:val="009E54A4"/>
    <w:rsid w:val="00A041B9"/>
    <w:rsid w:val="00A220EC"/>
    <w:rsid w:val="00A33213"/>
    <w:rsid w:val="00A503BE"/>
    <w:rsid w:val="00A96C07"/>
    <w:rsid w:val="00AA34C7"/>
    <w:rsid w:val="00AC0DFC"/>
    <w:rsid w:val="00AC1961"/>
    <w:rsid w:val="00AE6881"/>
    <w:rsid w:val="00B26CB3"/>
    <w:rsid w:val="00B3004D"/>
    <w:rsid w:val="00B36A39"/>
    <w:rsid w:val="00B424AC"/>
    <w:rsid w:val="00B5113A"/>
    <w:rsid w:val="00B72A12"/>
    <w:rsid w:val="00B82BB5"/>
    <w:rsid w:val="00B84F55"/>
    <w:rsid w:val="00C21A79"/>
    <w:rsid w:val="00C311C4"/>
    <w:rsid w:val="00C36A8E"/>
    <w:rsid w:val="00CB2546"/>
    <w:rsid w:val="00CD4272"/>
    <w:rsid w:val="00CF6FB8"/>
    <w:rsid w:val="00D02F15"/>
    <w:rsid w:val="00D81CE7"/>
    <w:rsid w:val="00DB01E9"/>
    <w:rsid w:val="00DD1A36"/>
    <w:rsid w:val="00DD40D9"/>
    <w:rsid w:val="00DE4225"/>
    <w:rsid w:val="00DF4670"/>
    <w:rsid w:val="00E12842"/>
    <w:rsid w:val="00E15F6B"/>
    <w:rsid w:val="00E40FC2"/>
    <w:rsid w:val="00E75A65"/>
    <w:rsid w:val="00E96F7E"/>
    <w:rsid w:val="00EC6524"/>
    <w:rsid w:val="00EC7602"/>
    <w:rsid w:val="00EE4CE2"/>
    <w:rsid w:val="00EF65AE"/>
    <w:rsid w:val="00F00837"/>
    <w:rsid w:val="00F3660A"/>
    <w:rsid w:val="00F64EA0"/>
    <w:rsid w:val="00FC62F6"/>
    <w:rsid w:val="00FD1C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D4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EC"/>
    <w:rPr>
      <w:sz w:val="24"/>
      <w:szCs w:val="24"/>
    </w:rPr>
  </w:style>
  <w:style w:type="paragraph" w:styleId="Heading1">
    <w:name w:val="heading 1"/>
    <w:basedOn w:val="Normal"/>
    <w:next w:val="Normal"/>
    <w:link w:val="Heading1Char"/>
    <w:uiPriority w:val="9"/>
    <w:qFormat/>
    <w:rsid w:val="00A220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2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220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0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20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20E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A220EC"/>
    <w:rPr>
      <w:rFonts w:ascii="Lucida Grande" w:hAnsi="Lucida Grande"/>
      <w:sz w:val="18"/>
      <w:szCs w:val="18"/>
    </w:rPr>
  </w:style>
  <w:style w:type="character" w:customStyle="1" w:styleId="BalloonTextChar">
    <w:name w:val="Balloon Text Char"/>
    <w:basedOn w:val="DefaultParagraphFont"/>
    <w:uiPriority w:val="99"/>
    <w:semiHidden/>
    <w:rsid w:val="00A220EC"/>
    <w:rPr>
      <w:rFonts w:ascii="Lucida Grande" w:hAnsi="Lucida Grande"/>
      <w:sz w:val="18"/>
      <w:szCs w:val="18"/>
    </w:rPr>
  </w:style>
  <w:style w:type="table" w:styleId="TableGrid">
    <w:name w:val="Table Grid"/>
    <w:basedOn w:val="TableNormal"/>
    <w:uiPriority w:val="59"/>
    <w:rsid w:val="00A220E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20EC"/>
    <w:pPr>
      <w:ind w:left="720"/>
      <w:contextualSpacing/>
    </w:pPr>
  </w:style>
  <w:style w:type="character" w:styleId="Hyperlink">
    <w:name w:val="Hyperlink"/>
    <w:basedOn w:val="DefaultParagraphFont"/>
    <w:rsid w:val="00A220EC"/>
    <w:rPr>
      <w:color w:val="0000FF"/>
      <w:u w:val="single"/>
    </w:rPr>
  </w:style>
  <w:style w:type="character" w:styleId="HTMLCite">
    <w:name w:val="HTML Cite"/>
    <w:basedOn w:val="DefaultParagraphFont"/>
    <w:uiPriority w:val="99"/>
    <w:rsid w:val="00A220EC"/>
    <w:rPr>
      <w:i/>
    </w:rPr>
  </w:style>
  <w:style w:type="character" w:customStyle="1" w:styleId="BalloonTextChar1">
    <w:name w:val="Balloon Text Char1"/>
    <w:basedOn w:val="DefaultParagraphFont"/>
    <w:link w:val="BalloonText"/>
    <w:uiPriority w:val="99"/>
    <w:semiHidden/>
    <w:rsid w:val="00A220EC"/>
    <w:rPr>
      <w:rFonts w:ascii="Lucida Grande" w:hAnsi="Lucida Grande"/>
      <w:sz w:val="18"/>
      <w:szCs w:val="18"/>
    </w:rPr>
  </w:style>
  <w:style w:type="paragraph" w:styleId="Footer">
    <w:name w:val="footer"/>
    <w:basedOn w:val="Normal"/>
    <w:link w:val="FooterChar"/>
    <w:uiPriority w:val="99"/>
    <w:unhideWhenUsed/>
    <w:rsid w:val="00A220EC"/>
    <w:pPr>
      <w:tabs>
        <w:tab w:val="center" w:pos="4320"/>
        <w:tab w:val="right" w:pos="8640"/>
      </w:tabs>
    </w:pPr>
  </w:style>
  <w:style w:type="character" w:customStyle="1" w:styleId="FooterChar">
    <w:name w:val="Footer Char"/>
    <w:basedOn w:val="DefaultParagraphFont"/>
    <w:link w:val="Footer"/>
    <w:uiPriority w:val="99"/>
    <w:rsid w:val="00A220EC"/>
    <w:rPr>
      <w:sz w:val="24"/>
      <w:szCs w:val="24"/>
    </w:rPr>
  </w:style>
  <w:style w:type="character" w:styleId="PageNumber">
    <w:name w:val="page number"/>
    <w:basedOn w:val="DefaultParagraphFont"/>
    <w:uiPriority w:val="99"/>
    <w:semiHidden/>
    <w:unhideWhenUsed/>
    <w:rsid w:val="00A220EC"/>
  </w:style>
  <w:style w:type="paragraph" w:styleId="Header">
    <w:name w:val="header"/>
    <w:basedOn w:val="Normal"/>
    <w:link w:val="HeaderChar"/>
    <w:uiPriority w:val="99"/>
    <w:unhideWhenUsed/>
    <w:rsid w:val="00A220EC"/>
    <w:pPr>
      <w:tabs>
        <w:tab w:val="center" w:pos="4320"/>
        <w:tab w:val="right" w:pos="8640"/>
      </w:tabs>
    </w:pPr>
  </w:style>
  <w:style w:type="character" w:customStyle="1" w:styleId="HeaderChar">
    <w:name w:val="Header Char"/>
    <w:basedOn w:val="DefaultParagraphFont"/>
    <w:link w:val="Header"/>
    <w:uiPriority w:val="99"/>
    <w:rsid w:val="00A220EC"/>
    <w:rPr>
      <w:sz w:val="24"/>
      <w:szCs w:val="24"/>
    </w:rPr>
  </w:style>
  <w:style w:type="paragraph" w:styleId="TOCHeading">
    <w:name w:val="TOC Heading"/>
    <w:basedOn w:val="Heading1"/>
    <w:next w:val="Normal"/>
    <w:uiPriority w:val="39"/>
    <w:unhideWhenUsed/>
    <w:qFormat/>
    <w:rsid w:val="00A220E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220EC"/>
    <w:pPr>
      <w:spacing w:before="120"/>
    </w:pPr>
    <w:rPr>
      <w:rFonts w:asciiTheme="majorHAnsi" w:hAnsiTheme="majorHAnsi"/>
      <w:b/>
      <w:color w:val="548DD4"/>
    </w:rPr>
  </w:style>
  <w:style w:type="paragraph" w:styleId="TOC2">
    <w:name w:val="toc 2"/>
    <w:basedOn w:val="Normal"/>
    <w:next w:val="Normal"/>
    <w:autoRedefine/>
    <w:uiPriority w:val="39"/>
    <w:unhideWhenUsed/>
    <w:rsid w:val="00A220EC"/>
    <w:rPr>
      <w:b/>
      <w:sz w:val="22"/>
      <w:szCs w:val="22"/>
    </w:rPr>
  </w:style>
  <w:style w:type="paragraph" w:styleId="TOC3">
    <w:name w:val="toc 3"/>
    <w:basedOn w:val="Normal"/>
    <w:next w:val="Normal"/>
    <w:autoRedefine/>
    <w:uiPriority w:val="39"/>
    <w:semiHidden/>
    <w:unhideWhenUsed/>
    <w:rsid w:val="00A220EC"/>
    <w:pPr>
      <w:ind w:left="240"/>
    </w:pPr>
    <w:rPr>
      <w:i/>
      <w:sz w:val="22"/>
      <w:szCs w:val="22"/>
    </w:rPr>
  </w:style>
  <w:style w:type="paragraph" w:styleId="TOC4">
    <w:name w:val="toc 4"/>
    <w:basedOn w:val="Normal"/>
    <w:next w:val="Normal"/>
    <w:autoRedefine/>
    <w:uiPriority w:val="39"/>
    <w:semiHidden/>
    <w:unhideWhenUsed/>
    <w:rsid w:val="00A220EC"/>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A220EC"/>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A220EC"/>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A220EC"/>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A220EC"/>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A220EC"/>
    <w:pPr>
      <w:pBdr>
        <w:between w:val="double" w:sz="6" w:space="0" w:color="auto"/>
      </w:pBdr>
      <w:ind w:left="1680"/>
    </w:pPr>
    <w:rPr>
      <w:sz w:val="20"/>
      <w:szCs w:val="20"/>
    </w:rPr>
  </w:style>
  <w:style w:type="paragraph" w:styleId="FootnoteText">
    <w:name w:val="footnote text"/>
    <w:basedOn w:val="Normal"/>
    <w:link w:val="FootnoteTextChar"/>
    <w:unhideWhenUsed/>
    <w:rsid w:val="00A220EC"/>
    <w:rPr>
      <w:rFonts w:ascii="Cambria" w:eastAsia="Cambria" w:hAnsi="Cambria" w:cs="Times New Roman"/>
    </w:rPr>
  </w:style>
  <w:style w:type="character" w:customStyle="1" w:styleId="FootnoteTextChar">
    <w:name w:val="Footnote Text Char"/>
    <w:basedOn w:val="DefaultParagraphFont"/>
    <w:link w:val="FootnoteText"/>
    <w:rsid w:val="00A220EC"/>
    <w:rPr>
      <w:rFonts w:ascii="Cambria" w:eastAsia="Cambria" w:hAnsi="Cambria" w:cs="Times New Roman"/>
      <w:sz w:val="24"/>
      <w:szCs w:val="24"/>
    </w:rPr>
  </w:style>
  <w:style w:type="character" w:styleId="FootnoteReference">
    <w:name w:val="footnote reference"/>
    <w:basedOn w:val="DefaultParagraphFont"/>
    <w:unhideWhenUsed/>
    <w:rsid w:val="00A220EC"/>
    <w:rPr>
      <w:vertAlign w:val="superscript"/>
    </w:rPr>
  </w:style>
  <w:style w:type="paragraph" w:styleId="NormalWeb">
    <w:name w:val="Normal (Web)"/>
    <w:basedOn w:val="Normal"/>
    <w:uiPriority w:val="99"/>
    <w:rsid w:val="00A220EC"/>
    <w:pPr>
      <w:spacing w:beforeLines="1" w:afterLines="1"/>
    </w:pPr>
    <w:rPr>
      <w:rFonts w:ascii="Times" w:hAnsi="Times" w:cs="Times New Roman"/>
      <w:sz w:val="20"/>
      <w:szCs w:val="20"/>
    </w:rPr>
  </w:style>
  <w:style w:type="character" w:customStyle="1" w:styleId="CharChar1">
    <w:name w:val="Char Char1"/>
    <w:basedOn w:val="DefaultParagraphFont"/>
    <w:semiHidden/>
    <w:rsid w:val="00A220EC"/>
    <w:rPr>
      <w:lang w:val="en-US" w:eastAsia="en-US" w:bidi="ar-SA"/>
    </w:rPr>
  </w:style>
  <w:style w:type="paragraph" w:customStyle="1" w:styleId="heading">
    <w:name w:val="heading"/>
    <w:basedOn w:val="TOC1"/>
    <w:rsid w:val="00A220EC"/>
    <w:rPr>
      <w:rFonts w:ascii="Cambria" w:hAnsi="Cambria"/>
      <w:noProof/>
      <w:u w:val="single"/>
    </w:rPr>
  </w:style>
  <w:style w:type="character" w:styleId="FollowedHyperlink">
    <w:name w:val="FollowedHyperlink"/>
    <w:basedOn w:val="DefaultParagraphFont"/>
    <w:rsid w:val="00A220EC"/>
    <w:rPr>
      <w:color w:val="800080" w:themeColor="followedHyperlink"/>
      <w:u w:val="single"/>
    </w:rPr>
  </w:style>
  <w:style w:type="character" w:styleId="CommentReference">
    <w:name w:val="annotation reference"/>
    <w:basedOn w:val="DefaultParagraphFont"/>
    <w:uiPriority w:val="99"/>
    <w:semiHidden/>
    <w:unhideWhenUsed/>
    <w:rsid w:val="00AE6881"/>
    <w:rPr>
      <w:sz w:val="16"/>
      <w:szCs w:val="16"/>
    </w:rPr>
  </w:style>
  <w:style w:type="paragraph" w:styleId="CommentText">
    <w:name w:val="annotation text"/>
    <w:basedOn w:val="Normal"/>
    <w:link w:val="CommentTextChar"/>
    <w:uiPriority w:val="99"/>
    <w:semiHidden/>
    <w:unhideWhenUsed/>
    <w:rsid w:val="00AE6881"/>
    <w:rPr>
      <w:sz w:val="20"/>
      <w:szCs w:val="20"/>
    </w:rPr>
  </w:style>
  <w:style w:type="character" w:customStyle="1" w:styleId="CommentTextChar">
    <w:name w:val="Comment Text Char"/>
    <w:basedOn w:val="DefaultParagraphFont"/>
    <w:link w:val="CommentText"/>
    <w:uiPriority w:val="99"/>
    <w:semiHidden/>
    <w:rsid w:val="00AE6881"/>
  </w:style>
  <w:style w:type="paragraph" w:styleId="CommentSubject">
    <w:name w:val="annotation subject"/>
    <w:basedOn w:val="CommentText"/>
    <w:next w:val="CommentText"/>
    <w:link w:val="CommentSubjectChar"/>
    <w:uiPriority w:val="99"/>
    <w:semiHidden/>
    <w:unhideWhenUsed/>
    <w:rsid w:val="00AE6881"/>
    <w:rPr>
      <w:b/>
      <w:bCs/>
    </w:rPr>
  </w:style>
  <w:style w:type="character" w:customStyle="1" w:styleId="CommentSubjectChar">
    <w:name w:val="Comment Subject Char"/>
    <w:basedOn w:val="CommentTextChar"/>
    <w:link w:val="CommentSubject"/>
    <w:uiPriority w:val="99"/>
    <w:semiHidden/>
    <w:rsid w:val="00AE6881"/>
    <w:rPr>
      <w:b/>
      <w:bCs/>
    </w:rPr>
  </w:style>
  <w:style w:type="paragraph" w:styleId="Revision">
    <w:name w:val="Revision"/>
    <w:hidden/>
    <w:uiPriority w:val="99"/>
    <w:semiHidden/>
    <w:rsid w:val="00D02F1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EC"/>
    <w:rPr>
      <w:sz w:val="24"/>
      <w:szCs w:val="24"/>
    </w:rPr>
  </w:style>
  <w:style w:type="paragraph" w:styleId="Heading1">
    <w:name w:val="heading 1"/>
    <w:basedOn w:val="Normal"/>
    <w:next w:val="Normal"/>
    <w:link w:val="Heading1Char"/>
    <w:uiPriority w:val="9"/>
    <w:qFormat/>
    <w:rsid w:val="00A220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2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220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0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20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20E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A220EC"/>
    <w:rPr>
      <w:rFonts w:ascii="Lucida Grande" w:hAnsi="Lucida Grande"/>
      <w:sz w:val="18"/>
      <w:szCs w:val="18"/>
    </w:rPr>
  </w:style>
  <w:style w:type="character" w:customStyle="1" w:styleId="BalloonTextChar">
    <w:name w:val="Balloon Text Char"/>
    <w:basedOn w:val="DefaultParagraphFont"/>
    <w:uiPriority w:val="99"/>
    <w:semiHidden/>
    <w:rsid w:val="00A220EC"/>
    <w:rPr>
      <w:rFonts w:ascii="Lucida Grande" w:hAnsi="Lucida Grande"/>
      <w:sz w:val="18"/>
      <w:szCs w:val="18"/>
    </w:rPr>
  </w:style>
  <w:style w:type="table" w:styleId="TableGrid">
    <w:name w:val="Table Grid"/>
    <w:basedOn w:val="TableNormal"/>
    <w:uiPriority w:val="59"/>
    <w:rsid w:val="00A220E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20EC"/>
    <w:pPr>
      <w:ind w:left="720"/>
      <w:contextualSpacing/>
    </w:pPr>
  </w:style>
  <w:style w:type="character" w:styleId="Hyperlink">
    <w:name w:val="Hyperlink"/>
    <w:basedOn w:val="DefaultParagraphFont"/>
    <w:rsid w:val="00A220EC"/>
    <w:rPr>
      <w:color w:val="0000FF"/>
      <w:u w:val="single"/>
    </w:rPr>
  </w:style>
  <w:style w:type="character" w:styleId="HTMLCite">
    <w:name w:val="HTML Cite"/>
    <w:basedOn w:val="DefaultParagraphFont"/>
    <w:uiPriority w:val="99"/>
    <w:rsid w:val="00A220EC"/>
    <w:rPr>
      <w:i/>
    </w:rPr>
  </w:style>
  <w:style w:type="character" w:customStyle="1" w:styleId="BalloonTextChar1">
    <w:name w:val="Balloon Text Char1"/>
    <w:basedOn w:val="DefaultParagraphFont"/>
    <w:link w:val="BalloonText"/>
    <w:uiPriority w:val="99"/>
    <w:semiHidden/>
    <w:rsid w:val="00A220EC"/>
    <w:rPr>
      <w:rFonts w:ascii="Lucida Grande" w:hAnsi="Lucida Grande"/>
      <w:sz w:val="18"/>
      <w:szCs w:val="18"/>
    </w:rPr>
  </w:style>
  <w:style w:type="paragraph" w:styleId="Footer">
    <w:name w:val="footer"/>
    <w:basedOn w:val="Normal"/>
    <w:link w:val="FooterChar"/>
    <w:uiPriority w:val="99"/>
    <w:unhideWhenUsed/>
    <w:rsid w:val="00A220EC"/>
    <w:pPr>
      <w:tabs>
        <w:tab w:val="center" w:pos="4320"/>
        <w:tab w:val="right" w:pos="8640"/>
      </w:tabs>
    </w:pPr>
  </w:style>
  <w:style w:type="character" w:customStyle="1" w:styleId="FooterChar">
    <w:name w:val="Footer Char"/>
    <w:basedOn w:val="DefaultParagraphFont"/>
    <w:link w:val="Footer"/>
    <w:uiPriority w:val="99"/>
    <w:rsid w:val="00A220EC"/>
    <w:rPr>
      <w:sz w:val="24"/>
      <w:szCs w:val="24"/>
    </w:rPr>
  </w:style>
  <w:style w:type="character" w:styleId="PageNumber">
    <w:name w:val="page number"/>
    <w:basedOn w:val="DefaultParagraphFont"/>
    <w:uiPriority w:val="99"/>
    <w:semiHidden/>
    <w:unhideWhenUsed/>
    <w:rsid w:val="00A220EC"/>
  </w:style>
  <w:style w:type="paragraph" w:styleId="Header">
    <w:name w:val="header"/>
    <w:basedOn w:val="Normal"/>
    <w:link w:val="HeaderChar"/>
    <w:uiPriority w:val="99"/>
    <w:unhideWhenUsed/>
    <w:rsid w:val="00A220EC"/>
    <w:pPr>
      <w:tabs>
        <w:tab w:val="center" w:pos="4320"/>
        <w:tab w:val="right" w:pos="8640"/>
      </w:tabs>
    </w:pPr>
  </w:style>
  <w:style w:type="character" w:customStyle="1" w:styleId="HeaderChar">
    <w:name w:val="Header Char"/>
    <w:basedOn w:val="DefaultParagraphFont"/>
    <w:link w:val="Header"/>
    <w:uiPriority w:val="99"/>
    <w:rsid w:val="00A220EC"/>
    <w:rPr>
      <w:sz w:val="24"/>
      <w:szCs w:val="24"/>
    </w:rPr>
  </w:style>
  <w:style w:type="paragraph" w:styleId="TOCHeading">
    <w:name w:val="TOC Heading"/>
    <w:basedOn w:val="Heading1"/>
    <w:next w:val="Normal"/>
    <w:uiPriority w:val="39"/>
    <w:unhideWhenUsed/>
    <w:qFormat/>
    <w:rsid w:val="00A220E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220EC"/>
    <w:pPr>
      <w:spacing w:before="120"/>
    </w:pPr>
    <w:rPr>
      <w:rFonts w:asciiTheme="majorHAnsi" w:hAnsiTheme="majorHAnsi"/>
      <w:b/>
      <w:color w:val="548DD4"/>
    </w:rPr>
  </w:style>
  <w:style w:type="paragraph" w:styleId="TOC2">
    <w:name w:val="toc 2"/>
    <w:basedOn w:val="Normal"/>
    <w:next w:val="Normal"/>
    <w:autoRedefine/>
    <w:uiPriority w:val="39"/>
    <w:unhideWhenUsed/>
    <w:rsid w:val="00A220EC"/>
    <w:rPr>
      <w:b/>
      <w:sz w:val="22"/>
      <w:szCs w:val="22"/>
    </w:rPr>
  </w:style>
  <w:style w:type="paragraph" w:styleId="TOC3">
    <w:name w:val="toc 3"/>
    <w:basedOn w:val="Normal"/>
    <w:next w:val="Normal"/>
    <w:autoRedefine/>
    <w:uiPriority w:val="39"/>
    <w:semiHidden/>
    <w:unhideWhenUsed/>
    <w:rsid w:val="00A220EC"/>
    <w:pPr>
      <w:ind w:left="240"/>
    </w:pPr>
    <w:rPr>
      <w:i/>
      <w:sz w:val="22"/>
      <w:szCs w:val="22"/>
    </w:rPr>
  </w:style>
  <w:style w:type="paragraph" w:styleId="TOC4">
    <w:name w:val="toc 4"/>
    <w:basedOn w:val="Normal"/>
    <w:next w:val="Normal"/>
    <w:autoRedefine/>
    <w:uiPriority w:val="39"/>
    <w:semiHidden/>
    <w:unhideWhenUsed/>
    <w:rsid w:val="00A220EC"/>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A220EC"/>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A220EC"/>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A220EC"/>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A220EC"/>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A220EC"/>
    <w:pPr>
      <w:pBdr>
        <w:between w:val="double" w:sz="6" w:space="0" w:color="auto"/>
      </w:pBdr>
      <w:ind w:left="1680"/>
    </w:pPr>
    <w:rPr>
      <w:sz w:val="20"/>
      <w:szCs w:val="20"/>
    </w:rPr>
  </w:style>
  <w:style w:type="paragraph" w:styleId="FootnoteText">
    <w:name w:val="footnote text"/>
    <w:basedOn w:val="Normal"/>
    <w:link w:val="FootnoteTextChar"/>
    <w:unhideWhenUsed/>
    <w:rsid w:val="00A220EC"/>
    <w:rPr>
      <w:rFonts w:ascii="Cambria" w:eastAsia="Cambria" w:hAnsi="Cambria" w:cs="Times New Roman"/>
    </w:rPr>
  </w:style>
  <w:style w:type="character" w:customStyle="1" w:styleId="FootnoteTextChar">
    <w:name w:val="Footnote Text Char"/>
    <w:basedOn w:val="DefaultParagraphFont"/>
    <w:link w:val="FootnoteText"/>
    <w:rsid w:val="00A220EC"/>
    <w:rPr>
      <w:rFonts w:ascii="Cambria" w:eastAsia="Cambria" w:hAnsi="Cambria" w:cs="Times New Roman"/>
      <w:sz w:val="24"/>
      <w:szCs w:val="24"/>
    </w:rPr>
  </w:style>
  <w:style w:type="character" w:styleId="FootnoteReference">
    <w:name w:val="footnote reference"/>
    <w:basedOn w:val="DefaultParagraphFont"/>
    <w:unhideWhenUsed/>
    <w:rsid w:val="00A220EC"/>
    <w:rPr>
      <w:vertAlign w:val="superscript"/>
    </w:rPr>
  </w:style>
  <w:style w:type="paragraph" w:styleId="NormalWeb">
    <w:name w:val="Normal (Web)"/>
    <w:basedOn w:val="Normal"/>
    <w:uiPriority w:val="99"/>
    <w:rsid w:val="00A220EC"/>
    <w:pPr>
      <w:spacing w:beforeLines="1" w:afterLines="1"/>
    </w:pPr>
    <w:rPr>
      <w:rFonts w:ascii="Times" w:hAnsi="Times" w:cs="Times New Roman"/>
      <w:sz w:val="20"/>
      <w:szCs w:val="20"/>
    </w:rPr>
  </w:style>
  <w:style w:type="character" w:customStyle="1" w:styleId="CharChar1">
    <w:name w:val="Char Char1"/>
    <w:basedOn w:val="DefaultParagraphFont"/>
    <w:semiHidden/>
    <w:rsid w:val="00A220EC"/>
    <w:rPr>
      <w:lang w:val="en-US" w:eastAsia="en-US" w:bidi="ar-SA"/>
    </w:rPr>
  </w:style>
  <w:style w:type="paragraph" w:customStyle="1" w:styleId="heading">
    <w:name w:val="heading"/>
    <w:basedOn w:val="TOC1"/>
    <w:rsid w:val="00A220EC"/>
    <w:rPr>
      <w:rFonts w:ascii="Cambria" w:hAnsi="Cambria"/>
      <w:noProof/>
      <w:u w:val="single"/>
    </w:rPr>
  </w:style>
  <w:style w:type="character" w:styleId="FollowedHyperlink">
    <w:name w:val="FollowedHyperlink"/>
    <w:basedOn w:val="DefaultParagraphFont"/>
    <w:rsid w:val="00A220EC"/>
    <w:rPr>
      <w:color w:val="800080" w:themeColor="followedHyperlink"/>
      <w:u w:val="single"/>
    </w:rPr>
  </w:style>
  <w:style w:type="character" w:styleId="CommentReference">
    <w:name w:val="annotation reference"/>
    <w:basedOn w:val="DefaultParagraphFont"/>
    <w:uiPriority w:val="99"/>
    <w:semiHidden/>
    <w:unhideWhenUsed/>
    <w:rsid w:val="00AE6881"/>
    <w:rPr>
      <w:sz w:val="16"/>
      <w:szCs w:val="16"/>
    </w:rPr>
  </w:style>
  <w:style w:type="paragraph" w:styleId="CommentText">
    <w:name w:val="annotation text"/>
    <w:basedOn w:val="Normal"/>
    <w:link w:val="CommentTextChar"/>
    <w:uiPriority w:val="99"/>
    <w:semiHidden/>
    <w:unhideWhenUsed/>
    <w:rsid w:val="00AE6881"/>
    <w:rPr>
      <w:sz w:val="20"/>
      <w:szCs w:val="20"/>
    </w:rPr>
  </w:style>
  <w:style w:type="character" w:customStyle="1" w:styleId="CommentTextChar">
    <w:name w:val="Comment Text Char"/>
    <w:basedOn w:val="DefaultParagraphFont"/>
    <w:link w:val="CommentText"/>
    <w:uiPriority w:val="99"/>
    <w:semiHidden/>
    <w:rsid w:val="00AE6881"/>
  </w:style>
  <w:style w:type="paragraph" w:styleId="CommentSubject">
    <w:name w:val="annotation subject"/>
    <w:basedOn w:val="CommentText"/>
    <w:next w:val="CommentText"/>
    <w:link w:val="CommentSubjectChar"/>
    <w:uiPriority w:val="99"/>
    <w:semiHidden/>
    <w:unhideWhenUsed/>
    <w:rsid w:val="00AE6881"/>
    <w:rPr>
      <w:b/>
      <w:bCs/>
    </w:rPr>
  </w:style>
  <w:style w:type="character" w:customStyle="1" w:styleId="CommentSubjectChar">
    <w:name w:val="Comment Subject Char"/>
    <w:basedOn w:val="CommentTextChar"/>
    <w:link w:val="CommentSubject"/>
    <w:uiPriority w:val="99"/>
    <w:semiHidden/>
    <w:rsid w:val="00AE6881"/>
    <w:rPr>
      <w:b/>
      <w:bCs/>
    </w:rPr>
  </w:style>
  <w:style w:type="paragraph" w:styleId="Revision">
    <w:name w:val="Revision"/>
    <w:hidden/>
    <w:uiPriority w:val="99"/>
    <w:semiHidden/>
    <w:rsid w:val="00D0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68015">
      <w:bodyDiv w:val="1"/>
      <w:marLeft w:val="0"/>
      <w:marRight w:val="0"/>
      <w:marTop w:val="0"/>
      <w:marBottom w:val="0"/>
      <w:divBdr>
        <w:top w:val="none" w:sz="0" w:space="0" w:color="auto"/>
        <w:left w:val="none" w:sz="0" w:space="0" w:color="auto"/>
        <w:bottom w:val="none" w:sz="0" w:space="0" w:color="auto"/>
        <w:right w:val="none" w:sz="0" w:space="0" w:color="auto"/>
      </w:divBdr>
    </w:div>
    <w:div w:id="881790154">
      <w:bodyDiv w:val="1"/>
      <w:marLeft w:val="0"/>
      <w:marRight w:val="0"/>
      <w:marTop w:val="0"/>
      <w:marBottom w:val="0"/>
      <w:divBdr>
        <w:top w:val="none" w:sz="0" w:space="0" w:color="auto"/>
        <w:left w:val="none" w:sz="0" w:space="0" w:color="auto"/>
        <w:bottom w:val="none" w:sz="0" w:space="0" w:color="auto"/>
        <w:right w:val="none" w:sz="0" w:space="0" w:color="auto"/>
      </w:divBdr>
    </w:div>
    <w:div w:id="1149397611">
      <w:bodyDiv w:val="1"/>
      <w:marLeft w:val="0"/>
      <w:marRight w:val="0"/>
      <w:marTop w:val="0"/>
      <w:marBottom w:val="0"/>
      <w:divBdr>
        <w:top w:val="none" w:sz="0" w:space="0" w:color="auto"/>
        <w:left w:val="none" w:sz="0" w:space="0" w:color="auto"/>
        <w:bottom w:val="none" w:sz="0" w:space="0" w:color="auto"/>
        <w:right w:val="none" w:sz="0" w:space="0" w:color="auto"/>
      </w:divBdr>
    </w:div>
    <w:div w:id="2140106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ews.net/docs/Publications/1001210.pdf" TargetMode="External"/><Relationship Id="rId20" Type="http://schemas.openxmlformats.org/officeDocument/2006/relationships/hyperlink" Target="http://www.fao.org/GIEWS/english/index.htm" TargetMode="External"/><Relationship Id="rId21" Type="http://schemas.openxmlformats.org/officeDocument/2006/relationships/image" Target="media/image4.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ageconsearch.umn.edu/bitstream/54486/2/wp_27.pdf" TargetMode="External"/><Relationship Id="rId11" Type="http://schemas.openxmlformats.org/officeDocument/2006/relationships/hyperlink" Target="http://www.ratin.net" TargetMode="External"/><Relationship Id="rId12" Type="http://schemas.openxmlformats.org/officeDocument/2006/relationships/hyperlink" Target="http://www.foodsec.org/DL/course/shortcourseFA/en/pdf/5_FBS_concepts.pdf" TargetMode="External"/><Relationship Id="rId13" Type="http://schemas.openxmlformats.org/officeDocument/2006/relationships/hyperlink" Target="http://www.fews.net/docs/Publications/1001210.pdf" TargetMode="External"/><Relationship Id="rId14" Type="http://schemas.openxmlformats.org/officeDocument/2006/relationships/hyperlink" Target="http://ageconsearch.umn.edu/bitstream/54486/2/wp_27.pdf" TargetMode="External"/><Relationship Id="rId15" Type="http://schemas.openxmlformats.org/officeDocument/2006/relationships/hyperlink" Target="http://www.ratin.net" TargetMode="External"/><Relationship Id="rId16" Type="http://schemas.openxmlformats.org/officeDocument/2006/relationships/image" Target="media/image1.png"/><Relationship Id="rId17" Type="http://schemas.openxmlformats.org/officeDocument/2006/relationships/hyperlink" Target="http://faostat.fao.org/site/368/default.aspx" TargetMode="External"/><Relationship Id="rId18" Type="http://schemas.openxmlformats.org/officeDocument/2006/relationships/image" Target="media/image2.wmf"/><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dsec.org/DL/course/shortcourseFA/en/pdf/5_FBS_conce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16812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2012-02-13T17:02:00Z</cp:lastPrinted>
  <dcterms:created xsi:type="dcterms:W3CDTF">2012-03-28T00:41:00Z</dcterms:created>
  <dcterms:modified xsi:type="dcterms:W3CDTF">2012-03-28T00:41:00Z</dcterms:modified>
</cp:coreProperties>
</file>